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7" w:type="dxa"/>
        <w:tblInd w:w="575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</w:tblGrid>
      <w:tr w:rsidR="00EB5B63" w:rsidRPr="00EB5B63" w:rsidTr="00F815BC">
        <w:tc>
          <w:tcPr>
            <w:tcW w:w="0" w:type="auto"/>
            <w:vAlign w:val="center"/>
            <w:hideMark/>
          </w:tcPr>
          <w:p w:rsidR="00EB5B63" w:rsidRPr="00EB5B63" w:rsidRDefault="00EB5B63" w:rsidP="00EB5B63">
            <w:pPr>
              <w:rPr>
                <w:sz w:val="24"/>
                <w:szCs w:val="24"/>
              </w:rPr>
            </w:pPr>
          </w:p>
        </w:tc>
      </w:tr>
    </w:tbl>
    <w:p w:rsidR="00A608FB" w:rsidRDefault="00A608FB" w:rsidP="00A608FB">
      <w:pPr>
        <w:tabs>
          <w:tab w:val="left" w:pos="5670"/>
        </w:tabs>
      </w:pPr>
      <w:r w:rsidRPr="00C32635">
        <w:rPr>
          <w:sz w:val="28"/>
          <w:szCs w:val="28"/>
        </w:rPr>
        <w:t xml:space="preserve">ФОРМА </w:t>
      </w:r>
      <w:r>
        <w:rPr>
          <w:sz w:val="28"/>
          <w:szCs w:val="28"/>
        </w:rPr>
        <w:t>3</w:t>
      </w:r>
      <w:r w:rsidRPr="00C32635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</w:t>
      </w:r>
    </w:p>
    <w:tbl>
      <w:tblPr>
        <w:tblW w:w="5358" w:type="dxa"/>
        <w:tblInd w:w="575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73"/>
        <w:gridCol w:w="73"/>
        <w:gridCol w:w="744"/>
      </w:tblGrid>
      <w:tr w:rsidR="00A608FB" w:rsidRPr="00A33372" w:rsidTr="00E40782">
        <w:trPr>
          <w:gridAfter w:val="1"/>
          <w:wAfter w:w="744" w:type="dxa"/>
          <w:trHeight w:val="255"/>
        </w:trPr>
        <w:tc>
          <w:tcPr>
            <w:tcW w:w="4564" w:type="dxa"/>
            <w:gridSpan w:val="3"/>
          </w:tcPr>
          <w:p w:rsidR="00A608FB" w:rsidRPr="00A33372" w:rsidRDefault="00A608FB" w:rsidP="00E40782">
            <w:pPr>
              <w:contextualSpacing/>
              <w:rPr>
                <w:sz w:val="28"/>
                <w:szCs w:val="28"/>
              </w:rPr>
            </w:pPr>
            <w:r w:rsidRPr="00A33372">
              <w:rPr>
                <w:sz w:val="28"/>
                <w:szCs w:val="28"/>
              </w:rPr>
              <w:t>УТВЕРЖДЕНО</w:t>
            </w:r>
          </w:p>
        </w:tc>
      </w:tr>
      <w:tr w:rsidR="00A608FB" w:rsidRPr="00A33372" w:rsidTr="00E40782">
        <w:trPr>
          <w:trHeight w:val="180"/>
        </w:trPr>
        <w:tc>
          <w:tcPr>
            <w:tcW w:w="3326" w:type="dxa"/>
          </w:tcPr>
          <w:p w:rsidR="00A608FB" w:rsidRPr="00A33372" w:rsidRDefault="00A608FB" w:rsidP="00E40782">
            <w:pPr>
              <w:ind w:right="-33"/>
              <w:contextualSpacing/>
              <w:jc w:val="both"/>
              <w:rPr>
                <w:sz w:val="28"/>
                <w:szCs w:val="28"/>
              </w:rPr>
            </w:pPr>
            <w:r w:rsidRPr="00A33372">
              <w:rPr>
                <w:sz w:val="28"/>
                <w:szCs w:val="28"/>
              </w:rPr>
              <w:t>Приказ филиала «Учебный центр»</w:t>
            </w:r>
          </w:p>
        </w:tc>
        <w:tc>
          <w:tcPr>
            <w:tcW w:w="0" w:type="auto"/>
          </w:tcPr>
          <w:p w:rsidR="00A608FB" w:rsidRPr="00A33372" w:rsidRDefault="00A608FB" w:rsidP="00E40782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608FB" w:rsidRPr="00A33372" w:rsidRDefault="00A608FB" w:rsidP="00E40782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608FB" w:rsidRPr="00A33372" w:rsidRDefault="00A608FB" w:rsidP="00E40782">
            <w:pPr>
              <w:rPr>
                <w:sz w:val="28"/>
                <w:szCs w:val="28"/>
              </w:rPr>
            </w:pPr>
          </w:p>
        </w:tc>
      </w:tr>
      <w:tr w:rsidR="00A608FB" w:rsidRPr="00A33372" w:rsidTr="00E40782">
        <w:trPr>
          <w:trHeight w:val="180"/>
        </w:trPr>
        <w:tc>
          <w:tcPr>
            <w:tcW w:w="3326" w:type="dxa"/>
          </w:tcPr>
          <w:p w:rsidR="00A608FB" w:rsidRPr="00A33372" w:rsidRDefault="00A608FB" w:rsidP="00E40782">
            <w:pPr>
              <w:contextualSpacing/>
              <w:jc w:val="both"/>
              <w:rPr>
                <w:sz w:val="28"/>
                <w:szCs w:val="28"/>
              </w:rPr>
            </w:pPr>
            <w:r w:rsidRPr="00A33372">
              <w:rPr>
                <w:sz w:val="28"/>
                <w:szCs w:val="28"/>
              </w:rPr>
              <w:t xml:space="preserve">РУП «Витебскэнерго» </w:t>
            </w:r>
          </w:p>
        </w:tc>
        <w:tc>
          <w:tcPr>
            <w:tcW w:w="0" w:type="auto"/>
          </w:tcPr>
          <w:p w:rsidR="00A608FB" w:rsidRPr="00A33372" w:rsidRDefault="00A608FB" w:rsidP="00E40782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608FB" w:rsidRPr="00A33372" w:rsidRDefault="00A608FB" w:rsidP="00E40782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608FB" w:rsidRPr="00A33372" w:rsidRDefault="00A608FB" w:rsidP="00E40782">
            <w:pPr>
              <w:rPr>
                <w:sz w:val="28"/>
                <w:szCs w:val="28"/>
              </w:rPr>
            </w:pPr>
          </w:p>
        </w:tc>
      </w:tr>
      <w:tr w:rsidR="00A608FB" w:rsidRPr="00A33372" w:rsidTr="00E40782">
        <w:trPr>
          <w:trHeight w:val="255"/>
        </w:trPr>
        <w:tc>
          <w:tcPr>
            <w:tcW w:w="4812" w:type="dxa"/>
            <w:gridSpan w:val="4"/>
          </w:tcPr>
          <w:p w:rsidR="00A608FB" w:rsidRPr="00A33372" w:rsidRDefault="00A608FB" w:rsidP="00E40782">
            <w:pPr>
              <w:rPr>
                <w:sz w:val="28"/>
                <w:szCs w:val="28"/>
              </w:rPr>
            </w:pPr>
            <w:r w:rsidRPr="00A33372">
              <w:rPr>
                <w:sz w:val="28"/>
                <w:szCs w:val="28"/>
              </w:rPr>
              <w:t>__________________№______</w:t>
            </w:r>
          </w:p>
        </w:tc>
      </w:tr>
    </w:tbl>
    <w:p w:rsidR="00A608FB" w:rsidRDefault="00A608FB">
      <w:pPr>
        <w:pStyle w:val="a3"/>
        <w:rPr>
          <w:sz w:val="28"/>
          <w:szCs w:val="28"/>
        </w:rPr>
      </w:pPr>
    </w:p>
    <w:p w:rsidR="00A608FB" w:rsidRDefault="00A608FB">
      <w:pPr>
        <w:pStyle w:val="a3"/>
        <w:rPr>
          <w:sz w:val="28"/>
          <w:szCs w:val="28"/>
        </w:rPr>
      </w:pPr>
    </w:p>
    <w:p w:rsidR="00A608FB" w:rsidRDefault="00A608FB">
      <w:pPr>
        <w:pStyle w:val="a3"/>
        <w:rPr>
          <w:sz w:val="28"/>
          <w:szCs w:val="28"/>
        </w:rPr>
      </w:pPr>
    </w:p>
    <w:p w:rsidR="00A608FB" w:rsidRDefault="00A608FB">
      <w:pPr>
        <w:pStyle w:val="a3"/>
        <w:rPr>
          <w:sz w:val="28"/>
          <w:szCs w:val="28"/>
        </w:rPr>
      </w:pPr>
    </w:p>
    <w:p w:rsidR="006403DF" w:rsidRPr="00DC63B0" w:rsidRDefault="006403DF">
      <w:pPr>
        <w:pStyle w:val="a3"/>
        <w:rPr>
          <w:sz w:val="28"/>
          <w:szCs w:val="28"/>
        </w:rPr>
      </w:pPr>
      <w:r w:rsidRPr="00DC63B0">
        <w:rPr>
          <w:sz w:val="28"/>
          <w:szCs w:val="28"/>
        </w:rPr>
        <w:t>ДОГОВОР</w:t>
      </w:r>
      <w:r w:rsidR="00156485" w:rsidRPr="00DC63B0">
        <w:rPr>
          <w:sz w:val="28"/>
          <w:szCs w:val="28"/>
        </w:rPr>
        <w:t xml:space="preserve"> </w:t>
      </w:r>
      <w:r w:rsidR="006C0DFF" w:rsidRPr="00DC63B0">
        <w:rPr>
          <w:sz w:val="28"/>
          <w:szCs w:val="28"/>
        </w:rPr>
        <w:t xml:space="preserve"> №</w:t>
      </w:r>
    </w:p>
    <w:p w:rsidR="00900FDF" w:rsidRPr="00DC63B0" w:rsidRDefault="006403DF" w:rsidP="00636733">
      <w:pPr>
        <w:rPr>
          <w:sz w:val="28"/>
          <w:szCs w:val="28"/>
        </w:rPr>
      </w:pPr>
      <w:r w:rsidRPr="00DC63B0">
        <w:rPr>
          <w:sz w:val="28"/>
          <w:szCs w:val="28"/>
        </w:rPr>
        <w:t>г. Витебск</w:t>
      </w:r>
      <w:r w:rsidRPr="00DC63B0">
        <w:rPr>
          <w:sz w:val="28"/>
          <w:szCs w:val="28"/>
        </w:rPr>
        <w:tab/>
      </w:r>
      <w:r w:rsidRPr="00DC63B0">
        <w:rPr>
          <w:sz w:val="28"/>
          <w:szCs w:val="28"/>
        </w:rPr>
        <w:tab/>
      </w:r>
      <w:r w:rsidRPr="00DC63B0">
        <w:rPr>
          <w:sz w:val="28"/>
          <w:szCs w:val="28"/>
        </w:rPr>
        <w:tab/>
      </w:r>
      <w:r w:rsidRPr="00DC63B0">
        <w:rPr>
          <w:sz w:val="28"/>
          <w:szCs w:val="28"/>
        </w:rPr>
        <w:tab/>
      </w:r>
      <w:r w:rsidRPr="00DC63B0">
        <w:rPr>
          <w:sz w:val="28"/>
          <w:szCs w:val="28"/>
        </w:rPr>
        <w:tab/>
      </w:r>
      <w:r w:rsidRPr="00DC63B0">
        <w:rPr>
          <w:sz w:val="28"/>
          <w:szCs w:val="28"/>
        </w:rPr>
        <w:tab/>
      </w:r>
      <w:r w:rsidR="00900FDF" w:rsidRPr="00DC63B0">
        <w:rPr>
          <w:sz w:val="28"/>
          <w:szCs w:val="28"/>
        </w:rPr>
        <w:tab/>
      </w:r>
      <w:r w:rsidR="00900FDF" w:rsidRPr="00DC63B0">
        <w:rPr>
          <w:sz w:val="28"/>
          <w:szCs w:val="28"/>
        </w:rPr>
        <w:tab/>
      </w:r>
      <w:r w:rsidR="00EB5B63">
        <w:rPr>
          <w:sz w:val="28"/>
          <w:szCs w:val="28"/>
        </w:rPr>
        <w:t xml:space="preserve">       </w:t>
      </w:r>
      <w:r w:rsidR="00900FDF" w:rsidRPr="00DC63B0">
        <w:rPr>
          <w:sz w:val="28"/>
          <w:szCs w:val="28"/>
        </w:rPr>
        <w:t>«__</w:t>
      </w:r>
      <w:r w:rsidR="00E2012E" w:rsidRPr="00DC63B0">
        <w:rPr>
          <w:sz w:val="28"/>
          <w:szCs w:val="28"/>
        </w:rPr>
        <w:t>__</w:t>
      </w:r>
      <w:r w:rsidR="00900FDF" w:rsidRPr="00DC63B0">
        <w:rPr>
          <w:sz w:val="28"/>
          <w:szCs w:val="28"/>
        </w:rPr>
        <w:t>»________</w:t>
      </w:r>
      <w:r w:rsidR="002412E7" w:rsidRPr="00DC63B0">
        <w:rPr>
          <w:sz w:val="28"/>
          <w:szCs w:val="28"/>
        </w:rPr>
        <w:t xml:space="preserve"> 20</w:t>
      </w:r>
      <w:r w:rsidR="0069267E">
        <w:rPr>
          <w:sz w:val="28"/>
          <w:szCs w:val="28"/>
        </w:rPr>
        <w:t>__</w:t>
      </w:r>
    </w:p>
    <w:p w:rsidR="0038582A" w:rsidRPr="00DC63B0" w:rsidRDefault="00636733" w:rsidP="00636733">
      <w:pPr>
        <w:rPr>
          <w:sz w:val="26"/>
          <w:szCs w:val="26"/>
        </w:rPr>
      </w:pPr>
      <w:r w:rsidRPr="00DC63B0">
        <w:rPr>
          <w:sz w:val="26"/>
          <w:szCs w:val="26"/>
        </w:rPr>
        <w:t xml:space="preserve"> </w:t>
      </w:r>
    </w:p>
    <w:p w:rsidR="0035604C" w:rsidRDefault="006403DF" w:rsidP="00F427EA">
      <w:pPr>
        <w:pStyle w:val="3"/>
        <w:rPr>
          <w:sz w:val="28"/>
          <w:szCs w:val="28"/>
        </w:rPr>
      </w:pPr>
      <w:r w:rsidRPr="00DC63B0">
        <w:rPr>
          <w:szCs w:val="26"/>
        </w:rPr>
        <w:t xml:space="preserve"> </w:t>
      </w:r>
      <w:r w:rsidR="00A977C2" w:rsidRPr="00DC63B0">
        <w:rPr>
          <w:szCs w:val="26"/>
        </w:rPr>
        <w:t xml:space="preserve"> </w:t>
      </w:r>
      <w:r w:rsidR="00A977C2" w:rsidRPr="00DC63B0">
        <w:rPr>
          <w:szCs w:val="26"/>
        </w:rPr>
        <w:tab/>
      </w:r>
      <w:r w:rsidR="00B41FB8">
        <w:rPr>
          <w:sz w:val="28"/>
          <w:szCs w:val="28"/>
        </w:rPr>
        <w:t xml:space="preserve">Витебское </w:t>
      </w:r>
      <w:r w:rsidR="0000383C" w:rsidRPr="0000383C">
        <w:rPr>
          <w:sz w:val="28"/>
          <w:szCs w:val="28"/>
        </w:rPr>
        <w:t>республиканское</w:t>
      </w:r>
      <w:r w:rsidR="00563184">
        <w:rPr>
          <w:sz w:val="28"/>
          <w:szCs w:val="28"/>
        </w:rPr>
        <w:t xml:space="preserve"> </w:t>
      </w:r>
      <w:r w:rsidR="00B41FB8">
        <w:rPr>
          <w:sz w:val="28"/>
          <w:szCs w:val="28"/>
        </w:rPr>
        <w:t xml:space="preserve">унитарное </w:t>
      </w:r>
      <w:r w:rsidR="0000383C" w:rsidRPr="0000383C">
        <w:rPr>
          <w:sz w:val="28"/>
          <w:szCs w:val="28"/>
        </w:rPr>
        <w:t>предприятие элек</w:t>
      </w:r>
      <w:r w:rsidR="00B41FB8">
        <w:rPr>
          <w:sz w:val="28"/>
          <w:szCs w:val="28"/>
        </w:rPr>
        <w:t>троэнергетики</w:t>
      </w:r>
      <w:r w:rsidR="00563184">
        <w:rPr>
          <w:sz w:val="28"/>
          <w:szCs w:val="28"/>
        </w:rPr>
        <w:t xml:space="preserve"> «Витебскэнерго» </w:t>
      </w:r>
      <w:r w:rsidR="0000383C" w:rsidRPr="0000383C">
        <w:rPr>
          <w:sz w:val="28"/>
          <w:szCs w:val="28"/>
        </w:rPr>
        <w:t>(РУ</w:t>
      </w:r>
      <w:r w:rsidR="00563184">
        <w:rPr>
          <w:sz w:val="28"/>
          <w:szCs w:val="28"/>
        </w:rPr>
        <w:t>П «Витебскэнерго»), именуемое в дальнейшем</w:t>
      </w:r>
      <w:r w:rsidR="00B41FB8">
        <w:rPr>
          <w:sz w:val="28"/>
          <w:szCs w:val="28"/>
        </w:rPr>
        <w:t xml:space="preserve"> «ИСПОЛНИТЕЛЬ», в лице начальника лаборатории </w:t>
      </w:r>
      <w:r w:rsidR="0000383C" w:rsidRPr="0000383C">
        <w:rPr>
          <w:sz w:val="28"/>
          <w:szCs w:val="28"/>
        </w:rPr>
        <w:t>подразделения: служба</w:t>
      </w:r>
      <w:r w:rsidR="00B41FB8">
        <w:rPr>
          <w:sz w:val="28"/>
          <w:szCs w:val="28"/>
        </w:rPr>
        <w:t xml:space="preserve"> учета энергоресурсов филиала </w:t>
      </w:r>
      <w:r w:rsidR="0000383C" w:rsidRPr="0000383C">
        <w:rPr>
          <w:sz w:val="28"/>
          <w:szCs w:val="28"/>
        </w:rPr>
        <w:t>«Учебный центр» РУП «Витебскэнерго» Антоненко Сергея Николаевича, действующе</w:t>
      </w:r>
      <w:r w:rsidR="0035604C">
        <w:rPr>
          <w:sz w:val="28"/>
          <w:szCs w:val="28"/>
        </w:rPr>
        <w:t xml:space="preserve">го на основании доверенности  </w:t>
      </w:r>
      <w:r w:rsidR="0000383C" w:rsidRPr="0000383C">
        <w:rPr>
          <w:sz w:val="28"/>
          <w:szCs w:val="28"/>
        </w:rPr>
        <w:t>_________________</w:t>
      </w:r>
      <w:r w:rsidR="0035604C">
        <w:rPr>
          <w:sz w:val="28"/>
          <w:szCs w:val="28"/>
        </w:rPr>
        <w:t>__</w:t>
      </w:r>
      <w:r w:rsidR="00EB5B63">
        <w:rPr>
          <w:sz w:val="28"/>
          <w:szCs w:val="28"/>
        </w:rPr>
        <w:t xml:space="preserve">, </w:t>
      </w:r>
      <w:r w:rsidR="0000383C" w:rsidRPr="0000383C">
        <w:rPr>
          <w:sz w:val="28"/>
          <w:szCs w:val="28"/>
        </w:rPr>
        <w:t>с одной стороны и ___</w:t>
      </w:r>
      <w:r w:rsidR="00563184">
        <w:rPr>
          <w:sz w:val="28"/>
          <w:szCs w:val="28"/>
        </w:rPr>
        <w:t>____________________</w:t>
      </w:r>
      <w:r w:rsidR="0035604C">
        <w:rPr>
          <w:sz w:val="28"/>
          <w:szCs w:val="28"/>
        </w:rPr>
        <w:t>_________</w:t>
      </w:r>
    </w:p>
    <w:p w:rsidR="00F427EA" w:rsidRPr="00DC63B0" w:rsidRDefault="0035604C" w:rsidP="00F427EA">
      <w:pPr>
        <w:pStyle w:val="3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 w:rsidR="00563184">
        <w:rPr>
          <w:sz w:val="28"/>
          <w:szCs w:val="28"/>
        </w:rPr>
        <w:t xml:space="preserve">, именуемое в дальнейшем «ЗАКАЗЧИК», в </w:t>
      </w:r>
      <w:r w:rsidR="00B41FB8">
        <w:rPr>
          <w:sz w:val="28"/>
          <w:szCs w:val="28"/>
        </w:rPr>
        <w:t>лице</w:t>
      </w:r>
      <w:r w:rsidR="0000383C" w:rsidRPr="0000383C">
        <w:rPr>
          <w:sz w:val="28"/>
          <w:szCs w:val="28"/>
        </w:rPr>
        <w:t xml:space="preserve"> _____________________________, действующего на основании _____________________________</w:t>
      </w:r>
      <w:r w:rsidR="00EB5B63">
        <w:rPr>
          <w:sz w:val="28"/>
          <w:szCs w:val="28"/>
        </w:rPr>
        <w:t>,</w:t>
      </w:r>
      <w:r w:rsidR="0000383C" w:rsidRPr="0000383C">
        <w:rPr>
          <w:sz w:val="28"/>
          <w:szCs w:val="28"/>
        </w:rPr>
        <w:t xml:space="preserve"> с другой стороны, заключили настоящий договор о нижеследующем</w:t>
      </w:r>
      <w:r w:rsidR="00F427EA" w:rsidRPr="00DC63B0">
        <w:rPr>
          <w:sz w:val="28"/>
          <w:szCs w:val="28"/>
        </w:rPr>
        <w:t>:</w:t>
      </w:r>
    </w:p>
    <w:p w:rsidR="00A7288D" w:rsidRPr="00DC63B0" w:rsidRDefault="00A7288D" w:rsidP="00F427EA">
      <w:pPr>
        <w:pStyle w:val="3"/>
        <w:rPr>
          <w:sz w:val="28"/>
          <w:szCs w:val="28"/>
        </w:rPr>
      </w:pPr>
    </w:p>
    <w:p w:rsidR="006403DF" w:rsidRDefault="006403DF" w:rsidP="003E4F19">
      <w:pPr>
        <w:pStyle w:val="3"/>
        <w:ind w:left="720"/>
        <w:jc w:val="center"/>
        <w:rPr>
          <w:b/>
          <w:sz w:val="28"/>
          <w:szCs w:val="28"/>
        </w:rPr>
      </w:pPr>
      <w:r w:rsidRPr="00DC63B0">
        <w:rPr>
          <w:b/>
          <w:sz w:val="28"/>
          <w:szCs w:val="28"/>
        </w:rPr>
        <w:t>Предмет договора</w:t>
      </w:r>
    </w:p>
    <w:p w:rsidR="00EF504C" w:rsidRPr="00DC63B0" w:rsidRDefault="003E4F19" w:rsidP="00EF504C">
      <w:pPr>
        <w:pStyle w:val="a7"/>
        <w:ind w:left="0"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 xml:space="preserve">1. </w:t>
      </w:r>
      <w:r w:rsidR="00EF504C" w:rsidRPr="00DC63B0">
        <w:rPr>
          <w:sz w:val="28"/>
          <w:szCs w:val="28"/>
        </w:rPr>
        <w:t>Исполнитель обязуется выполнить для Заказчика:</w:t>
      </w:r>
    </w:p>
    <w:p w:rsidR="00C55A2E" w:rsidRPr="00DC63B0" w:rsidRDefault="00EF504C" w:rsidP="00EF504C">
      <w:pPr>
        <w:pStyle w:val="a7"/>
        <w:numPr>
          <w:ilvl w:val="1"/>
          <w:numId w:val="10"/>
        </w:numPr>
        <w:ind w:left="0"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 xml:space="preserve"> д</w:t>
      </w:r>
      <w:r w:rsidR="00AC6292" w:rsidRPr="00DC63B0">
        <w:rPr>
          <w:sz w:val="28"/>
          <w:szCs w:val="28"/>
        </w:rPr>
        <w:t>иагностик</w:t>
      </w:r>
      <w:r w:rsidRPr="00DC63B0">
        <w:rPr>
          <w:sz w:val="28"/>
          <w:szCs w:val="28"/>
        </w:rPr>
        <w:t>у</w:t>
      </w:r>
      <w:r w:rsidR="00AC6292" w:rsidRPr="00DC63B0">
        <w:rPr>
          <w:sz w:val="28"/>
          <w:szCs w:val="28"/>
        </w:rPr>
        <w:t xml:space="preserve"> и наладк</w:t>
      </w:r>
      <w:r w:rsidRPr="00DC63B0">
        <w:rPr>
          <w:sz w:val="28"/>
          <w:szCs w:val="28"/>
        </w:rPr>
        <w:t>у</w:t>
      </w:r>
      <w:r w:rsidR="00E70CA2">
        <w:rPr>
          <w:sz w:val="28"/>
          <w:szCs w:val="28"/>
        </w:rPr>
        <w:t xml:space="preserve"> </w:t>
      </w:r>
      <w:r w:rsidR="00914622" w:rsidRPr="00DC63B0">
        <w:rPr>
          <w:sz w:val="28"/>
          <w:szCs w:val="28"/>
        </w:rPr>
        <w:t>расходомеров и приборов учета тепловой энергии</w:t>
      </w:r>
      <w:r w:rsidR="005F1342" w:rsidRPr="00DC63B0">
        <w:rPr>
          <w:sz w:val="28"/>
          <w:szCs w:val="28"/>
        </w:rPr>
        <w:t xml:space="preserve"> в комплекте с термопреобразователями сопротивления </w:t>
      </w:r>
      <w:r w:rsidR="005B3844" w:rsidRPr="00DC63B0">
        <w:rPr>
          <w:sz w:val="28"/>
          <w:szCs w:val="28"/>
        </w:rPr>
        <w:t>(далее п</w:t>
      </w:r>
      <w:r w:rsidR="00E70CA2">
        <w:rPr>
          <w:sz w:val="28"/>
          <w:szCs w:val="28"/>
        </w:rPr>
        <w:t xml:space="preserve">о тексту договора </w:t>
      </w:r>
      <w:r w:rsidRPr="00DC63B0">
        <w:rPr>
          <w:sz w:val="28"/>
          <w:szCs w:val="28"/>
        </w:rPr>
        <w:t>«приборы»);</w:t>
      </w:r>
    </w:p>
    <w:p w:rsidR="005B3844" w:rsidRPr="00DC63B0" w:rsidRDefault="00EF504C" w:rsidP="00EF504C">
      <w:pPr>
        <w:numPr>
          <w:ilvl w:val="1"/>
          <w:numId w:val="10"/>
        </w:numPr>
        <w:ind w:left="0"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>п</w:t>
      </w:r>
      <w:r w:rsidR="005B3844" w:rsidRPr="00DC63B0">
        <w:rPr>
          <w:sz w:val="28"/>
          <w:szCs w:val="28"/>
        </w:rPr>
        <w:t>одготовк</w:t>
      </w:r>
      <w:r w:rsidRPr="00DC63B0">
        <w:rPr>
          <w:sz w:val="28"/>
          <w:szCs w:val="28"/>
        </w:rPr>
        <w:t>у</w:t>
      </w:r>
      <w:r w:rsidR="00E70CA2">
        <w:rPr>
          <w:sz w:val="28"/>
          <w:szCs w:val="28"/>
        </w:rPr>
        <w:t xml:space="preserve"> </w:t>
      </w:r>
      <w:r w:rsidR="005B3844" w:rsidRPr="00DC63B0">
        <w:rPr>
          <w:sz w:val="28"/>
          <w:szCs w:val="28"/>
        </w:rPr>
        <w:t>«приборов» для период</w:t>
      </w:r>
      <w:r w:rsidR="00C70A26" w:rsidRPr="00DC63B0">
        <w:rPr>
          <w:sz w:val="28"/>
          <w:szCs w:val="28"/>
        </w:rPr>
        <w:t>ической государственной поверки;</w:t>
      </w:r>
    </w:p>
    <w:p w:rsidR="00EF504C" w:rsidRPr="00DC63B0" w:rsidRDefault="00EF504C" w:rsidP="00EF504C">
      <w:pPr>
        <w:ind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>1.3</w:t>
      </w:r>
      <w:r w:rsidR="00C16EEA">
        <w:rPr>
          <w:sz w:val="28"/>
          <w:szCs w:val="28"/>
        </w:rPr>
        <w:t>.</w:t>
      </w:r>
      <w:r w:rsidR="00C16EEA">
        <w:rPr>
          <w:sz w:val="28"/>
          <w:szCs w:val="28"/>
        </w:rPr>
        <w:tab/>
      </w:r>
      <w:r w:rsidRPr="00DC63B0">
        <w:rPr>
          <w:sz w:val="28"/>
          <w:szCs w:val="28"/>
        </w:rPr>
        <w:t>р</w:t>
      </w:r>
      <w:r w:rsidR="00E70CA2">
        <w:rPr>
          <w:sz w:val="28"/>
          <w:szCs w:val="28"/>
        </w:rPr>
        <w:t xml:space="preserve">емонт </w:t>
      </w:r>
      <w:r w:rsidR="00900FDF" w:rsidRPr="00DC63B0">
        <w:rPr>
          <w:sz w:val="28"/>
          <w:szCs w:val="28"/>
        </w:rPr>
        <w:t>«</w:t>
      </w:r>
      <w:r w:rsidR="005B3844" w:rsidRPr="00DC63B0">
        <w:rPr>
          <w:sz w:val="28"/>
          <w:szCs w:val="28"/>
        </w:rPr>
        <w:t>приборов» в случае необходимости</w:t>
      </w:r>
      <w:r w:rsidR="004F0455" w:rsidRPr="00DC63B0">
        <w:rPr>
          <w:sz w:val="28"/>
          <w:szCs w:val="28"/>
        </w:rPr>
        <w:t xml:space="preserve"> и при наличии технической возможности</w:t>
      </w:r>
      <w:r w:rsidR="00C16EEA">
        <w:rPr>
          <w:sz w:val="28"/>
          <w:szCs w:val="28"/>
        </w:rPr>
        <w:t xml:space="preserve"> </w:t>
      </w:r>
      <w:r w:rsidR="00C16EEA" w:rsidRPr="00CD59DB">
        <w:rPr>
          <w:sz w:val="28"/>
          <w:szCs w:val="28"/>
        </w:rPr>
        <w:t>с информированием Заказчика о н</w:t>
      </w:r>
      <w:r w:rsidR="00CD59DB">
        <w:rPr>
          <w:sz w:val="28"/>
          <w:szCs w:val="28"/>
        </w:rPr>
        <w:t>еобходимости проведения ремонта</w:t>
      </w:r>
      <w:r w:rsidR="007939D6" w:rsidRPr="00CD59DB">
        <w:rPr>
          <w:sz w:val="28"/>
          <w:szCs w:val="28"/>
        </w:rPr>
        <w:t xml:space="preserve"> </w:t>
      </w:r>
      <w:r w:rsidR="00C16EEA">
        <w:rPr>
          <w:sz w:val="28"/>
          <w:szCs w:val="28"/>
        </w:rPr>
        <w:t>(</w:t>
      </w:r>
      <w:r w:rsidR="007939D6" w:rsidRPr="00DC63B0">
        <w:rPr>
          <w:sz w:val="28"/>
          <w:szCs w:val="28"/>
        </w:rPr>
        <w:t>замена неисправных термопреобразователей сопротивления ремонтом «приборов» не является</w:t>
      </w:r>
      <w:r w:rsidR="00C16EEA">
        <w:rPr>
          <w:sz w:val="28"/>
          <w:szCs w:val="28"/>
        </w:rPr>
        <w:t>)</w:t>
      </w:r>
      <w:r w:rsidRPr="00DC63B0">
        <w:rPr>
          <w:sz w:val="28"/>
          <w:szCs w:val="28"/>
        </w:rPr>
        <w:t>;</w:t>
      </w:r>
    </w:p>
    <w:p w:rsidR="003E4F19" w:rsidRPr="00DC63B0" w:rsidRDefault="00EF504C" w:rsidP="003E4F19">
      <w:pPr>
        <w:ind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>1.4 о</w:t>
      </w:r>
      <w:r w:rsidR="00F427EA" w:rsidRPr="00DC63B0">
        <w:rPr>
          <w:sz w:val="28"/>
          <w:szCs w:val="28"/>
        </w:rPr>
        <w:t>беспечение государственной</w:t>
      </w:r>
      <w:r w:rsidR="005B3844" w:rsidRPr="00DC63B0">
        <w:rPr>
          <w:sz w:val="28"/>
          <w:szCs w:val="28"/>
        </w:rPr>
        <w:t xml:space="preserve"> повер</w:t>
      </w:r>
      <w:r w:rsidR="00F427EA" w:rsidRPr="00DC63B0">
        <w:rPr>
          <w:sz w:val="28"/>
          <w:szCs w:val="28"/>
        </w:rPr>
        <w:t>ки</w:t>
      </w:r>
      <w:r w:rsidR="005B3844" w:rsidRPr="00DC63B0">
        <w:rPr>
          <w:sz w:val="28"/>
          <w:szCs w:val="28"/>
        </w:rPr>
        <w:t xml:space="preserve"> «приборов» с</w:t>
      </w:r>
      <w:r w:rsidR="00571C3D">
        <w:rPr>
          <w:sz w:val="28"/>
          <w:szCs w:val="28"/>
        </w:rPr>
        <w:t xml:space="preserve"> </w:t>
      </w:r>
      <w:r w:rsidR="00B41FB8">
        <w:rPr>
          <w:sz w:val="28"/>
          <w:szCs w:val="28"/>
        </w:rPr>
        <w:t xml:space="preserve">выдачей свидетельства </w:t>
      </w:r>
      <w:r w:rsidR="005B3844" w:rsidRPr="00DC63B0">
        <w:rPr>
          <w:sz w:val="28"/>
          <w:szCs w:val="28"/>
        </w:rPr>
        <w:t xml:space="preserve">о </w:t>
      </w:r>
      <w:r w:rsidR="00914622" w:rsidRPr="00DC63B0">
        <w:rPr>
          <w:sz w:val="28"/>
          <w:szCs w:val="28"/>
        </w:rPr>
        <w:t>прохождении оче</w:t>
      </w:r>
      <w:r w:rsidR="00B41FB8">
        <w:rPr>
          <w:sz w:val="28"/>
          <w:szCs w:val="28"/>
        </w:rPr>
        <w:t xml:space="preserve">редной поверки или извещения о </w:t>
      </w:r>
      <w:r w:rsidR="005B3844" w:rsidRPr="00DC63B0">
        <w:rPr>
          <w:sz w:val="28"/>
          <w:szCs w:val="28"/>
        </w:rPr>
        <w:t>непригодности</w:t>
      </w:r>
      <w:r w:rsidR="00EE18B7" w:rsidRPr="00DC63B0">
        <w:rPr>
          <w:sz w:val="28"/>
          <w:szCs w:val="28"/>
        </w:rPr>
        <w:t xml:space="preserve"> </w:t>
      </w:r>
      <w:r w:rsidR="005B3844" w:rsidRPr="00DC63B0">
        <w:rPr>
          <w:sz w:val="28"/>
          <w:szCs w:val="28"/>
        </w:rPr>
        <w:t>по</w:t>
      </w:r>
      <w:r w:rsidR="00914622" w:rsidRPr="00DC63B0">
        <w:rPr>
          <w:sz w:val="28"/>
          <w:szCs w:val="28"/>
        </w:rPr>
        <w:t xml:space="preserve"> отдельному договору с РУП «Витебс</w:t>
      </w:r>
      <w:r w:rsidR="005B3844" w:rsidRPr="00DC63B0">
        <w:rPr>
          <w:sz w:val="28"/>
          <w:szCs w:val="28"/>
        </w:rPr>
        <w:t>кий ЦСМС».</w:t>
      </w:r>
    </w:p>
    <w:p w:rsidR="004D4628" w:rsidRDefault="003E4F19" w:rsidP="003E4F19">
      <w:pPr>
        <w:ind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 xml:space="preserve">2. Заказчик обязуется: </w:t>
      </w:r>
    </w:p>
    <w:p w:rsidR="003E4F19" w:rsidRDefault="004D4628" w:rsidP="003E4F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sz w:val="28"/>
          <w:szCs w:val="28"/>
        </w:rPr>
        <w:tab/>
      </w:r>
      <w:r w:rsidR="003E4F19" w:rsidRPr="00DC63B0">
        <w:rPr>
          <w:sz w:val="28"/>
          <w:szCs w:val="28"/>
        </w:rPr>
        <w:t>принять результаты выполненных работ и произвести их оплату, а также возместить расходы Исполнителя, понесенные при выполнении действий по государственной поверке «приборов»</w:t>
      </w:r>
      <w:r>
        <w:rPr>
          <w:sz w:val="28"/>
          <w:szCs w:val="28"/>
        </w:rPr>
        <w:t>;</w:t>
      </w:r>
    </w:p>
    <w:p w:rsidR="004D4628" w:rsidRPr="00CD59DB" w:rsidRDefault="004D4628" w:rsidP="003E4F19">
      <w:pPr>
        <w:ind w:firstLine="851"/>
        <w:jc w:val="both"/>
        <w:rPr>
          <w:sz w:val="28"/>
          <w:szCs w:val="28"/>
        </w:rPr>
      </w:pPr>
      <w:r w:rsidRPr="00CD59DB">
        <w:rPr>
          <w:sz w:val="28"/>
          <w:szCs w:val="28"/>
        </w:rPr>
        <w:t>2.2</w:t>
      </w:r>
      <w:r w:rsidRPr="00CD59DB">
        <w:rPr>
          <w:sz w:val="28"/>
          <w:szCs w:val="28"/>
        </w:rPr>
        <w:tab/>
        <w:t>уведомить Исполнителя о праве на льготу по налогу на добавленную стоимость и документально подтвердить её</w:t>
      </w:r>
      <w:r w:rsidR="00C16EEA" w:rsidRPr="00CD59DB">
        <w:rPr>
          <w:sz w:val="28"/>
          <w:szCs w:val="28"/>
        </w:rPr>
        <w:t>;</w:t>
      </w:r>
    </w:p>
    <w:p w:rsidR="00C16EEA" w:rsidRPr="00CD59DB" w:rsidRDefault="00C16EEA" w:rsidP="003E4F19">
      <w:pPr>
        <w:ind w:firstLine="851"/>
        <w:jc w:val="both"/>
        <w:rPr>
          <w:sz w:val="28"/>
          <w:szCs w:val="28"/>
        </w:rPr>
      </w:pPr>
      <w:r w:rsidRPr="00CD59DB">
        <w:rPr>
          <w:sz w:val="28"/>
          <w:szCs w:val="28"/>
        </w:rPr>
        <w:t>2.3</w:t>
      </w:r>
      <w:r w:rsidRPr="00CD59DB">
        <w:rPr>
          <w:sz w:val="28"/>
          <w:szCs w:val="28"/>
        </w:rPr>
        <w:tab/>
        <w:t xml:space="preserve"> уведомить Исполнителя о своем согласии на проведение ремонта или об отказе от ремонта.</w:t>
      </w:r>
    </w:p>
    <w:p w:rsidR="003E4F19" w:rsidRPr="00DC63B0" w:rsidRDefault="003E4F19" w:rsidP="00EF504C">
      <w:pPr>
        <w:ind w:firstLine="851"/>
        <w:jc w:val="both"/>
        <w:rPr>
          <w:sz w:val="25"/>
          <w:szCs w:val="25"/>
        </w:rPr>
      </w:pPr>
    </w:p>
    <w:p w:rsidR="00DC7A18" w:rsidRDefault="00DC7A18" w:rsidP="003E4F19">
      <w:pPr>
        <w:ind w:left="360"/>
        <w:jc w:val="center"/>
        <w:rPr>
          <w:b/>
          <w:sz w:val="28"/>
          <w:szCs w:val="28"/>
        </w:rPr>
      </w:pPr>
      <w:r w:rsidRPr="00DC63B0">
        <w:rPr>
          <w:b/>
          <w:sz w:val="28"/>
          <w:szCs w:val="28"/>
        </w:rPr>
        <w:t>Стоимость работ и порядок расчётов</w:t>
      </w:r>
    </w:p>
    <w:p w:rsidR="00426F33" w:rsidRPr="00DC63B0" w:rsidRDefault="00426F33" w:rsidP="00426F33">
      <w:pPr>
        <w:pStyle w:val="a4"/>
        <w:ind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lastRenderedPageBreak/>
        <w:t xml:space="preserve">3. </w:t>
      </w:r>
      <w:r w:rsidR="00E70CA2">
        <w:rPr>
          <w:sz w:val="28"/>
          <w:szCs w:val="28"/>
        </w:rPr>
        <w:t>Стоимость работ</w:t>
      </w:r>
      <w:r w:rsidR="00DC7A18" w:rsidRPr="00DC63B0">
        <w:rPr>
          <w:sz w:val="28"/>
          <w:szCs w:val="28"/>
        </w:rPr>
        <w:t xml:space="preserve"> по договору определяется: </w:t>
      </w:r>
    </w:p>
    <w:p w:rsidR="00426F33" w:rsidRPr="00DC63B0" w:rsidRDefault="00426F33" w:rsidP="00426F33">
      <w:pPr>
        <w:pStyle w:val="a4"/>
        <w:ind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 xml:space="preserve"> </w:t>
      </w:r>
      <w:r w:rsidR="00DC7A18" w:rsidRPr="00DC63B0">
        <w:rPr>
          <w:sz w:val="28"/>
          <w:szCs w:val="28"/>
        </w:rPr>
        <w:t>- за работы по п</w:t>
      </w:r>
      <w:r w:rsidR="004C0B5C" w:rsidRPr="00DC63B0">
        <w:rPr>
          <w:sz w:val="28"/>
          <w:szCs w:val="28"/>
        </w:rPr>
        <w:t>.п.</w:t>
      </w:r>
      <w:r w:rsidR="00DC7A18" w:rsidRPr="00DC63B0">
        <w:rPr>
          <w:sz w:val="28"/>
          <w:szCs w:val="28"/>
        </w:rPr>
        <w:t xml:space="preserve"> 1.1 ÷ 1.3</w:t>
      </w:r>
      <w:r w:rsidR="004C0B5C" w:rsidRPr="00DC63B0">
        <w:rPr>
          <w:sz w:val="28"/>
          <w:szCs w:val="28"/>
        </w:rPr>
        <w:t xml:space="preserve"> договора</w:t>
      </w:r>
      <w:r w:rsidR="00DC7A18" w:rsidRPr="00DC63B0">
        <w:rPr>
          <w:sz w:val="28"/>
          <w:szCs w:val="28"/>
        </w:rPr>
        <w:t xml:space="preserve"> – на </w:t>
      </w:r>
      <w:r w:rsidR="00E70CA2">
        <w:rPr>
          <w:sz w:val="28"/>
          <w:szCs w:val="28"/>
        </w:rPr>
        <w:t xml:space="preserve">основании </w:t>
      </w:r>
      <w:r w:rsidR="00DC7A18" w:rsidRPr="00DC63B0">
        <w:rPr>
          <w:sz w:val="28"/>
          <w:szCs w:val="28"/>
        </w:rPr>
        <w:t>Прейскуран</w:t>
      </w:r>
      <w:r w:rsidR="00E70CA2">
        <w:rPr>
          <w:sz w:val="28"/>
          <w:szCs w:val="28"/>
        </w:rPr>
        <w:t xml:space="preserve">тов, действующих у Исполнителя </w:t>
      </w:r>
      <w:r w:rsidR="00DC7A18" w:rsidRPr="00DC63B0">
        <w:rPr>
          <w:sz w:val="28"/>
          <w:szCs w:val="28"/>
        </w:rPr>
        <w:t>на м</w:t>
      </w:r>
      <w:r w:rsidRPr="00DC63B0">
        <w:rPr>
          <w:sz w:val="28"/>
          <w:szCs w:val="28"/>
        </w:rPr>
        <w:t>омент оформления счета-фактуры;</w:t>
      </w:r>
    </w:p>
    <w:p w:rsidR="00DC7A18" w:rsidRPr="00DC63B0" w:rsidRDefault="00DC7A18" w:rsidP="00426F33">
      <w:pPr>
        <w:pStyle w:val="a4"/>
        <w:ind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 xml:space="preserve"> - за работы по п</w:t>
      </w:r>
      <w:r w:rsidR="004C0B5C" w:rsidRPr="00DC63B0">
        <w:rPr>
          <w:sz w:val="28"/>
          <w:szCs w:val="28"/>
        </w:rPr>
        <w:t>.п.</w:t>
      </w:r>
      <w:r w:rsidR="00B41FB8">
        <w:rPr>
          <w:sz w:val="28"/>
          <w:szCs w:val="28"/>
        </w:rPr>
        <w:t xml:space="preserve"> </w:t>
      </w:r>
      <w:r w:rsidRPr="00DC63B0">
        <w:rPr>
          <w:sz w:val="28"/>
          <w:szCs w:val="28"/>
        </w:rPr>
        <w:t xml:space="preserve">1.4 </w:t>
      </w:r>
      <w:r w:rsidR="004C0B5C" w:rsidRPr="00DC63B0">
        <w:rPr>
          <w:sz w:val="28"/>
          <w:szCs w:val="28"/>
        </w:rPr>
        <w:t xml:space="preserve">договора </w:t>
      </w:r>
      <w:r w:rsidRPr="00DC63B0">
        <w:rPr>
          <w:sz w:val="28"/>
          <w:szCs w:val="28"/>
        </w:rPr>
        <w:t>– на основании тарифов, действующих в РУП «Витебский ЦСМС» на день проведения государственной поверки;</w:t>
      </w:r>
    </w:p>
    <w:p w:rsidR="00FC3B7A" w:rsidRPr="00DC63B0" w:rsidRDefault="00DC7A18" w:rsidP="00094810">
      <w:pPr>
        <w:pStyle w:val="a4"/>
        <w:ind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 xml:space="preserve"> - дополнительной стоимостью материалов по подпунк</w:t>
      </w:r>
      <w:r w:rsidR="00AD409B" w:rsidRPr="00DC63B0">
        <w:rPr>
          <w:sz w:val="28"/>
          <w:szCs w:val="28"/>
        </w:rPr>
        <w:t>ту 1.3</w:t>
      </w:r>
      <w:r w:rsidR="004C0B5C" w:rsidRPr="00DC63B0">
        <w:rPr>
          <w:sz w:val="28"/>
          <w:szCs w:val="28"/>
        </w:rPr>
        <w:t xml:space="preserve"> договора</w:t>
      </w:r>
      <w:r w:rsidR="00AD409B" w:rsidRPr="00DC63B0">
        <w:rPr>
          <w:sz w:val="28"/>
          <w:szCs w:val="28"/>
        </w:rPr>
        <w:t>, в случае необходимости;</w:t>
      </w:r>
    </w:p>
    <w:p w:rsidR="00AD409B" w:rsidRPr="00DC63B0" w:rsidRDefault="00B41FB8" w:rsidP="00147407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AD409B" w:rsidRPr="00DC63B0">
        <w:rPr>
          <w:sz w:val="28"/>
          <w:szCs w:val="28"/>
        </w:rPr>
        <w:t xml:space="preserve">в случае необходимости проведения работ по п.п. 1.1, 1.2, 1.4 </w:t>
      </w:r>
      <w:r w:rsidR="004C0B5C" w:rsidRPr="00DC63B0">
        <w:rPr>
          <w:sz w:val="28"/>
          <w:szCs w:val="28"/>
        </w:rPr>
        <w:t xml:space="preserve">договора </w:t>
      </w:r>
      <w:r w:rsidR="00AD409B" w:rsidRPr="00DC63B0">
        <w:rPr>
          <w:sz w:val="28"/>
          <w:szCs w:val="28"/>
        </w:rPr>
        <w:t>в сокращенные сроки – повышенная стоимость работ</w:t>
      </w:r>
      <w:r w:rsidR="00AD409B" w:rsidRPr="00DC63B0">
        <w:rPr>
          <w:sz w:val="28"/>
          <w:szCs w:val="28"/>
          <w:shd w:val="clear" w:color="auto" w:fill="FFFFFF"/>
        </w:rPr>
        <w:t xml:space="preserve"> </w:t>
      </w:r>
      <w:r w:rsidR="00AD409B" w:rsidRPr="00DC63B0">
        <w:rPr>
          <w:sz w:val="28"/>
          <w:szCs w:val="28"/>
        </w:rPr>
        <w:t>на</w:t>
      </w:r>
      <w:r w:rsidR="0000383C">
        <w:rPr>
          <w:sz w:val="28"/>
          <w:szCs w:val="28"/>
        </w:rPr>
        <w:t xml:space="preserve"> </w:t>
      </w:r>
      <w:r w:rsidR="00AD409B" w:rsidRPr="00DC63B0">
        <w:rPr>
          <w:sz w:val="28"/>
          <w:szCs w:val="28"/>
        </w:rPr>
        <w:t>основании Прейскурантов</w:t>
      </w:r>
      <w:r w:rsidR="00E70CA2">
        <w:rPr>
          <w:sz w:val="28"/>
          <w:szCs w:val="28"/>
        </w:rPr>
        <w:t xml:space="preserve">, действующих у Исполнителя </w:t>
      </w:r>
      <w:r w:rsidR="001875C6" w:rsidRPr="00DC63B0">
        <w:rPr>
          <w:sz w:val="28"/>
          <w:szCs w:val="28"/>
        </w:rPr>
        <w:t>на момент оформления счета-фактуры,</w:t>
      </w:r>
      <w:r w:rsidR="004C0B5C" w:rsidRPr="00DC63B0">
        <w:rPr>
          <w:sz w:val="28"/>
          <w:szCs w:val="28"/>
        </w:rPr>
        <w:t xml:space="preserve"> в порядке согласно п.11 договора</w:t>
      </w:r>
      <w:r w:rsidR="00AD409B" w:rsidRPr="00DC63B0">
        <w:rPr>
          <w:sz w:val="28"/>
          <w:szCs w:val="28"/>
        </w:rPr>
        <w:t>.</w:t>
      </w:r>
    </w:p>
    <w:p w:rsidR="00147407" w:rsidRPr="00DC63B0" w:rsidRDefault="00426F33" w:rsidP="00147407">
      <w:pPr>
        <w:pStyle w:val="a4"/>
        <w:ind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 xml:space="preserve">4. Оплата </w:t>
      </w:r>
      <w:r w:rsidR="00AE0CB7">
        <w:rPr>
          <w:sz w:val="28"/>
          <w:szCs w:val="28"/>
        </w:rPr>
        <w:t xml:space="preserve">выполненных </w:t>
      </w:r>
      <w:r w:rsidRPr="00DC63B0">
        <w:rPr>
          <w:sz w:val="28"/>
          <w:szCs w:val="28"/>
        </w:rPr>
        <w:t xml:space="preserve">работ </w:t>
      </w:r>
      <w:r w:rsidR="00563184">
        <w:rPr>
          <w:sz w:val="28"/>
          <w:szCs w:val="28"/>
        </w:rPr>
        <w:t>(п.п. 1.1-1.</w:t>
      </w:r>
      <w:r w:rsidR="002C2B39">
        <w:rPr>
          <w:sz w:val="28"/>
          <w:szCs w:val="28"/>
        </w:rPr>
        <w:t>4</w:t>
      </w:r>
      <w:r w:rsidR="00F511B5" w:rsidRPr="00563184">
        <w:rPr>
          <w:sz w:val="28"/>
          <w:szCs w:val="28"/>
        </w:rPr>
        <w:t xml:space="preserve"> договора</w:t>
      </w:r>
      <w:r w:rsidR="00F96C89" w:rsidRPr="00563184">
        <w:rPr>
          <w:sz w:val="28"/>
          <w:szCs w:val="28"/>
        </w:rPr>
        <w:t>)</w:t>
      </w:r>
      <w:r w:rsidR="00F96C89">
        <w:rPr>
          <w:sz w:val="28"/>
          <w:szCs w:val="28"/>
        </w:rPr>
        <w:t xml:space="preserve"> </w:t>
      </w:r>
      <w:r w:rsidRPr="00DC63B0">
        <w:rPr>
          <w:sz w:val="28"/>
          <w:szCs w:val="28"/>
        </w:rPr>
        <w:t xml:space="preserve">производится Заказчиком </w:t>
      </w:r>
      <w:r w:rsidR="00E70CA2">
        <w:rPr>
          <w:sz w:val="28"/>
          <w:szCs w:val="28"/>
        </w:rPr>
        <w:t xml:space="preserve">в течение 10 банковских </w:t>
      </w:r>
      <w:r w:rsidR="00DC7A18" w:rsidRPr="00DC63B0">
        <w:rPr>
          <w:sz w:val="28"/>
          <w:szCs w:val="28"/>
        </w:rPr>
        <w:t xml:space="preserve">дней после </w:t>
      </w:r>
      <w:r w:rsidRPr="00DC63B0">
        <w:rPr>
          <w:sz w:val="28"/>
          <w:szCs w:val="28"/>
        </w:rPr>
        <w:t xml:space="preserve">получения от Исполнителя </w:t>
      </w:r>
      <w:r w:rsidR="00DC7A18" w:rsidRPr="00DC63B0">
        <w:rPr>
          <w:sz w:val="28"/>
          <w:szCs w:val="28"/>
        </w:rPr>
        <w:t>счет</w:t>
      </w:r>
      <w:r w:rsidRPr="00DC63B0">
        <w:rPr>
          <w:sz w:val="28"/>
          <w:szCs w:val="28"/>
        </w:rPr>
        <w:t>а</w:t>
      </w:r>
      <w:r w:rsidR="00DC7A18" w:rsidRPr="00DC63B0">
        <w:rPr>
          <w:sz w:val="28"/>
          <w:szCs w:val="28"/>
        </w:rPr>
        <w:t xml:space="preserve"> – фактур</w:t>
      </w:r>
      <w:r w:rsidRPr="00DC63B0">
        <w:rPr>
          <w:sz w:val="28"/>
          <w:szCs w:val="28"/>
        </w:rPr>
        <w:t>ы</w:t>
      </w:r>
      <w:r w:rsidR="00EE18B7" w:rsidRPr="00DC63B0">
        <w:rPr>
          <w:sz w:val="28"/>
          <w:szCs w:val="28"/>
        </w:rPr>
        <w:t>,</w:t>
      </w:r>
      <w:r w:rsidR="00247A90" w:rsidRPr="00DC63B0">
        <w:rPr>
          <w:sz w:val="28"/>
          <w:szCs w:val="28"/>
        </w:rPr>
        <w:t xml:space="preserve"> </w:t>
      </w:r>
      <w:r w:rsidRPr="00DC63B0">
        <w:rPr>
          <w:sz w:val="28"/>
          <w:szCs w:val="28"/>
        </w:rPr>
        <w:t xml:space="preserve">в котором </w:t>
      </w:r>
      <w:r w:rsidR="00247A90" w:rsidRPr="00DC63B0">
        <w:rPr>
          <w:sz w:val="28"/>
          <w:szCs w:val="28"/>
        </w:rPr>
        <w:t>у</w:t>
      </w:r>
      <w:r w:rsidR="00E70CA2">
        <w:rPr>
          <w:sz w:val="28"/>
          <w:szCs w:val="28"/>
        </w:rPr>
        <w:t xml:space="preserve">казана стоимость </w:t>
      </w:r>
      <w:r w:rsidRPr="00DC63B0">
        <w:rPr>
          <w:sz w:val="28"/>
          <w:szCs w:val="28"/>
        </w:rPr>
        <w:t>работ, в порядке, определенном настоящим договором</w:t>
      </w:r>
      <w:r w:rsidR="00DC7A18" w:rsidRPr="00DC63B0">
        <w:rPr>
          <w:sz w:val="28"/>
          <w:szCs w:val="28"/>
        </w:rPr>
        <w:t>.</w:t>
      </w:r>
      <w:r w:rsidRPr="00DC63B0">
        <w:rPr>
          <w:sz w:val="28"/>
          <w:szCs w:val="28"/>
        </w:rPr>
        <w:t xml:space="preserve"> Исполнитель вправе предъявить счета-фактуры по отдельным видам выполненных работ.</w:t>
      </w:r>
    </w:p>
    <w:p w:rsidR="00147407" w:rsidRPr="00DC63B0" w:rsidRDefault="00B41FB8" w:rsidP="00147407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47407" w:rsidRPr="00DC63B0">
        <w:rPr>
          <w:sz w:val="28"/>
          <w:szCs w:val="28"/>
        </w:rPr>
        <w:t xml:space="preserve"> Расходы, понесенные Исполнителем при исполнении пункта 1.4. настоящего договора, возмещаются Заказчиком по их фактическому документально подтвержденному размеру на основании счетов – фактур, копий квитанций-счетов и тарифов, установленных РУП «Витебский ЦСМС». Возмещение расходов производится Заказчиком в течение 10 банковских дней после получения от Исполнителя счета-фактуры, в котором указан размер фактических расходов. </w:t>
      </w:r>
    </w:p>
    <w:p w:rsidR="00147407" w:rsidRPr="00DC63B0" w:rsidRDefault="00147407" w:rsidP="00147407">
      <w:pPr>
        <w:pStyle w:val="a4"/>
        <w:ind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 xml:space="preserve">6. </w:t>
      </w:r>
      <w:r w:rsidR="00DC7A18" w:rsidRPr="00DC63B0">
        <w:rPr>
          <w:sz w:val="28"/>
          <w:szCs w:val="28"/>
        </w:rPr>
        <w:t>Источник финансирования – собственные средства</w:t>
      </w:r>
      <w:r w:rsidRPr="00DC63B0">
        <w:rPr>
          <w:sz w:val="28"/>
          <w:szCs w:val="28"/>
        </w:rPr>
        <w:t xml:space="preserve"> Заказчика</w:t>
      </w:r>
      <w:r w:rsidR="00DC7A18" w:rsidRPr="00DC63B0">
        <w:rPr>
          <w:sz w:val="28"/>
          <w:szCs w:val="28"/>
        </w:rPr>
        <w:t>.</w:t>
      </w:r>
    </w:p>
    <w:p w:rsidR="001D2630" w:rsidRPr="00DC63B0" w:rsidRDefault="001D2630" w:rsidP="00147407">
      <w:pPr>
        <w:pStyle w:val="a4"/>
        <w:ind w:firstLine="851"/>
        <w:jc w:val="both"/>
        <w:rPr>
          <w:sz w:val="28"/>
          <w:szCs w:val="28"/>
        </w:rPr>
      </w:pPr>
    </w:p>
    <w:p w:rsidR="00AA7D89" w:rsidRDefault="00AA7D89" w:rsidP="00AA7D89">
      <w:pPr>
        <w:pStyle w:val="a7"/>
        <w:jc w:val="center"/>
        <w:rPr>
          <w:b/>
          <w:sz w:val="28"/>
          <w:szCs w:val="28"/>
        </w:rPr>
      </w:pPr>
      <w:r w:rsidRPr="00DC63B0">
        <w:rPr>
          <w:b/>
          <w:sz w:val="28"/>
          <w:szCs w:val="28"/>
        </w:rPr>
        <w:t>Порядок выполнения работ</w:t>
      </w:r>
    </w:p>
    <w:p w:rsidR="00147407" w:rsidRPr="00DC63B0" w:rsidRDefault="00AA7D89" w:rsidP="00AA7D89">
      <w:pPr>
        <w:ind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>7. Работы, предусмотренные настоящим</w:t>
      </w:r>
      <w:r w:rsidR="00571C3D">
        <w:rPr>
          <w:sz w:val="28"/>
          <w:szCs w:val="28"/>
        </w:rPr>
        <w:t xml:space="preserve"> </w:t>
      </w:r>
      <w:r w:rsidRPr="00DC63B0">
        <w:rPr>
          <w:sz w:val="28"/>
          <w:szCs w:val="28"/>
        </w:rPr>
        <w:t>договором</w:t>
      </w:r>
      <w:r w:rsidR="00571C3D">
        <w:rPr>
          <w:sz w:val="28"/>
          <w:szCs w:val="28"/>
        </w:rPr>
        <w:t xml:space="preserve">, </w:t>
      </w:r>
      <w:r w:rsidRPr="00DC63B0">
        <w:rPr>
          <w:sz w:val="28"/>
          <w:szCs w:val="28"/>
        </w:rPr>
        <w:t>выполняются лабораторией по поверке средств измерений и приборов учета</w:t>
      </w:r>
      <w:r w:rsidR="0062256A" w:rsidRPr="00DC63B0">
        <w:rPr>
          <w:sz w:val="28"/>
          <w:szCs w:val="28"/>
        </w:rPr>
        <w:t xml:space="preserve"> службы учета энергоресурсов </w:t>
      </w:r>
      <w:r w:rsidRPr="00DC63B0">
        <w:rPr>
          <w:sz w:val="28"/>
          <w:szCs w:val="28"/>
        </w:rPr>
        <w:t>филиала «Учебный центр» РУП «Витебскэнерго». Государственная поверка «приборов» осуществляется РУП «Витебский ЦСМС».</w:t>
      </w:r>
    </w:p>
    <w:p w:rsidR="00E35FDF" w:rsidRPr="00DC63B0" w:rsidRDefault="00AA7D89" w:rsidP="001A2446">
      <w:pPr>
        <w:ind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 xml:space="preserve">8. Исполнитель обеспечивает сохранность сданных «приборов», оформляет все необходимые документы, связанные с приёмом, ремонтом и отпуском «приборов». </w:t>
      </w:r>
    </w:p>
    <w:p w:rsidR="001A2446" w:rsidRPr="00DC63B0" w:rsidRDefault="001A2446" w:rsidP="001A2446">
      <w:pPr>
        <w:ind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>9. Заказчик своими силами и за своей счет организует доставку «приборов» в специальной таре, обеспечивающей необходимые условия их транспортирования, и передает Исполнителю «приборы» в полном комплекте с документацией согласно паспорту, включая свидетельство о предыдущей поверке.</w:t>
      </w:r>
      <w:r w:rsidR="001E66E4" w:rsidRPr="00DC63B0">
        <w:rPr>
          <w:sz w:val="28"/>
          <w:szCs w:val="28"/>
        </w:rPr>
        <w:t xml:space="preserve"> </w:t>
      </w:r>
      <w:r w:rsidRPr="00DC63B0">
        <w:rPr>
          <w:sz w:val="28"/>
          <w:szCs w:val="28"/>
        </w:rPr>
        <w:t>Допускается вместо термопреобразователей сопротивления предоставлять свидетельства об их поверке.</w:t>
      </w:r>
    </w:p>
    <w:p w:rsidR="001A2446" w:rsidRPr="00DC63B0" w:rsidRDefault="001A2446" w:rsidP="001A2446">
      <w:pPr>
        <w:ind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>10. «Приборы» (в том числе, измерительно-вычислительные блоки, первичные преобразователи расхода и температуры) должны быть очищены Заказчиком от пыли, грязи, ржавчины и т.п. Исполнитель вправе отказаться от приемки недостаточно очищенных «приборов», составив об этом односторонний акт произвольной формы с указанием причины отказа.</w:t>
      </w:r>
    </w:p>
    <w:p w:rsidR="001A2446" w:rsidRPr="00DC63B0" w:rsidRDefault="001A2446" w:rsidP="001A2446">
      <w:pPr>
        <w:ind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>11. Срок выполнения работ, не связанных с ремонтом «приборов», составляет:</w:t>
      </w:r>
    </w:p>
    <w:p w:rsidR="001E66E4" w:rsidRPr="00DC63B0" w:rsidRDefault="00BC1641" w:rsidP="001A2446">
      <w:pPr>
        <w:ind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lastRenderedPageBreak/>
        <w:t xml:space="preserve">- </w:t>
      </w:r>
      <w:r w:rsidR="0000383C">
        <w:rPr>
          <w:sz w:val="28"/>
          <w:szCs w:val="28"/>
        </w:rPr>
        <w:t>в отопительный период –</w:t>
      </w:r>
      <w:r w:rsidR="001E66E4" w:rsidRPr="00DC63B0">
        <w:rPr>
          <w:sz w:val="28"/>
          <w:szCs w:val="28"/>
        </w:rPr>
        <w:t xml:space="preserve"> не более 12 календарных дней с даты оплаты Заказчиком счета-фактуры согласно п. 4 настоящего договора;</w:t>
      </w:r>
    </w:p>
    <w:p w:rsidR="001A2446" w:rsidRPr="00DC63B0" w:rsidRDefault="00C70A26" w:rsidP="001A2446">
      <w:pPr>
        <w:pStyle w:val="a7"/>
        <w:ind w:left="0"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>-</w:t>
      </w:r>
      <w:r w:rsidR="00BC1641" w:rsidRPr="00DC63B0">
        <w:rPr>
          <w:sz w:val="28"/>
          <w:szCs w:val="28"/>
        </w:rPr>
        <w:t xml:space="preserve"> </w:t>
      </w:r>
      <w:r w:rsidRPr="00DC63B0">
        <w:rPr>
          <w:sz w:val="28"/>
          <w:szCs w:val="28"/>
        </w:rPr>
        <w:t>в межотопительн</w:t>
      </w:r>
      <w:r w:rsidR="00BC1641" w:rsidRPr="00DC63B0">
        <w:rPr>
          <w:sz w:val="28"/>
          <w:szCs w:val="28"/>
        </w:rPr>
        <w:t>ый</w:t>
      </w:r>
      <w:r w:rsidRPr="00DC63B0">
        <w:rPr>
          <w:sz w:val="28"/>
          <w:szCs w:val="28"/>
        </w:rPr>
        <w:t xml:space="preserve"> период</w:t>
      </w:r>
      <w:r w:rsidR="001A2446" w:rsidRPr="00DC63B0">
        <w:rPr>
          <w:sz w:val="28"/>
          <w:szCs w:val="28"/>
        </w:rPr>
        <w:t xml:space="preserve"> </w:t>
      </w:r>
      <w:r w:rsidR="00BC1641" w:rsidRPr="00DC63B0">
        <w:rPr>
          <w:sz w:val="28"/>
          <w:szCs w:val="28"/>
        </w:rPr>
        <w:t xml:space="preserve">– не </w:t>
      </w:r>
      <w:r w:rsidR="001A2446" w:rsidRPr="00DC63B0">
        <w:rPr>
          <w:sz w:val="28"/>
          <w:szCs w:val="28"/>
        </w:rPr>
        <w:t xml:space="preserve">более 30 календарных дней с </w:t>
      </w:r>
      <w:r w:rsidR="001E66E4" w:rsidRPr="00DC63B0">
        <w:rPr>
          <w:sz w:val="28"/>
          <w:szCs w:val="28"/>
        </w:rPr>
        <w:t>даты оплаты Заказчиком счета-фактуры согласно п. 4 настоящего договора.</w:t>
      </w:r>
    </w:p>
    <w:p w:rsidR="001A2446" w:rsidRPr="00DC63B0" w:rsidRDefault="001A2446" w:rsidP="001A2446">
      <w:pPr>
        <w:pStyle w:val="a7"/>
        <w:ind w:left="0"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>В случае необходимости ремонта «приборов» срок выполнения работ увеличивается на время ремонта, но не свыше 60 календарных дней.</w:t>
      </w:r>
    </w:p>
    <w:p w:rsidR="00AE3703" w:rsidRPr="00DC63B0" w:rsidRDefault="00AE3703" w:rsidP="001A2446">
      <w:pPr>
        <w:pStyle w:val="a7"/>
        <w:ind w:left="0"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 xml:space="preserve">В случае необходимости проведения работ по </w:t>
      </w:r>
      <w:r w:rsidR="00AD409B" w:rsidRPr="00DC63B0">
        <w:rPr>
          <w:sz w:val="28"/>
          <w:szCs w:val="28"/>
        </w:rPr>
        <w:t>п.</w:t>
      </w:r>
      <w:r w:rsidRPr="00DC63B0">
        <w:rPr>
          <w:sz w:val="28"/>
          <w:szCs w:val="28"/>
        </w:rPr>
        <w:t xml:space="preserve">п. 1.1, 1.2, 1.4 </w:t>
      </w:r>
      <w:r w:rsidR="004C0B5C" w:rsidRPr="00DC63B0">
        <w:rPr>
          <w:sz w:val="28"/>
          <w:szCs w:val="28"/>
        </w:rPr>
        <w:t xml:space="preserve">договора </w:t>
      </w:r>
      <w:r w:rsidRPr="00DC63B0">
        <w:rPr>
          <w:sz w:val="28"/>
          <w:szCs w:val="28"/>
        </w:rPr>
        <w:t xml:space="preserve">в сокращенные сроки Заказчик в письменной форме уведомляет об этом Исполнителя. В этом случае срок выполнения работ, не связанных с ремонтом «приборов», </w:t>
      </w:r>
      <w:r w:rsidR="00F511B5" w:rsidRPr="00563184">
        <w:rPr>
          <w:sz w:val="28"/>
          <w:szCs w:val="28"/>
        </w:rPr>
        <w:t>может быть сокращён до</w:t>
      </w:r>
      <w:r w:rsidRPr="00DC63B0">
        <w:rPr>
          <w:sz w:val="28"/>
          <w:szCs w:val="28"/>
        </w:rPr>
        <w:t xml:space="preserve"> 5 </w:t>
      </w:r>
      <w:r w:rsidR="003507E8">
        <w:rPr>
          <w:sz w:val="28"/>
          <w:szCs w:val="28"/>
        </w:rPr>
        <w:t>рабочих</w:t>
      </w:r>
      <w:r w:rsidRPr="00DC63B0">
        <w:rPr>
          <w:sz w:val="28"/>
          <w:szCs w:val="28"/>
        </w:rPr>
        <w:t xml:space="preserve"> дней. </w:t>
      </w:r>
      <w:r w:rsidR="001875C6" w:rsidRPr="00DC63B0">
        <w:rPr>
          <w:sz w:val="28"/>
          <w:szCs w:val="28"/>
        </w:rPr>
        <w:t xml:space="preserve">Работы по п.п. </w:t>
      </w:r>
      <w:r w:rsidRPr="00DC63B0">
        <w:rPr>
          <w:sz w:val="28"/>
          <w:szCs w:val="28"/>
        </w:rPr>
        <w:t xml:space="preserve">1.3 </w:t>
      </w:r>
      <w:r w:rsidR="001875C6" w:rsidRPr="00DC63B0">
        <w:rPr>
          <w:sz w:val="28"/>
          <w:szCs w:val="28"/>
        </w:rPr>
        <w:t xml:space="preserve">договора </w:t>
      </w:r>
      <w:r w:rsidRPr="00DC63B0">
        <w:rPr>
          <w:sz w:val="28"/>
          <w:szCs w:val="28"/>
        </w:rPr>
        <w:t>в сокращенные сроки не производятся.</w:t>
      </w:r>
      <w:r w:rsidR="00AD409B" w:rsidRPr="00DC63B0">
        <w:rPr>
          <w:sz w:val="28"/>
          <w:szCs w:val="28"/>
        </w:rPr>
        <w:t xml:space="preserve"> </w:t>
      </w:r>
    </w:p>
    <w:p w:rsidR="001A2446" w:rsidRPr="00DC63B0" w:rsidRDefault="001A2446" w:rsidP="001A2446">
      <w:pPr>
        <w:pStyle w:val="a7"/>
        <w:ind w:left="0"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 xml:space="preserve">12. Исполнитель извещает Заказчика об окончании выполнения работ (отдельного вида работ) по договору. Заказчик обязан с участием </w:t>
      </w:r>
      <w:r w:rsidR="00247A90" w:rsidRPr="00DC63B0">
        <w:rPr>
          <w:sz w:val="28"/>
          <w:szCs w:val="28"/>
        </w:rPr>
        <w:t xml:space="preserve">Исполнителя </w:t>
      </w:r>
      <w:r w:rsidRPr="00DC63B0">
        <w:rPr>
          <w:sz w:val="28"/>
          <w:szCs w:val="28"/>
        </w:rPr>
        <w:t xml:space="preserve">осмотреть и принять результат выполненной работы. </w:t>
      </w:r>
    </w:p>
    <w:p w:rsidR="004C1B67" w:rsidRDefault="00140A51" w:rsidP="001A2446">
      <w:pPr>
        <w:pStyle w:val="a7"/>
        <w:ind w:left="0"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>13. Законченные работы оформляются Исполнителем актом выполненных работ (далее – акт), который предоставляется Заказчику (его уполномоченному представителю) в двух подлинных экземплярах. Заказчик в течение 10 рабочих дней обязан рассмотреть и подписать акт</w:t>
      </w:r>
      <w:r>
        <w:rPr>
          <w:sz w:val="28"/>
          <w:szCs w:val="28"/>
        </w:rPr>
        <w:t>.</w:t>
      </w:r>
      <w:r w:rsidRPr="00140A51">
        <w:rPr>
          <w:b/>
          <w:color w:val="FF0000"/>
          <w:sz w:val="28"/>
          <w:szCs w:val="28"/>
        </w:rPr>
        <w:t xml:space="preserve"> </w:t>
      </w:r>
      <w:r w:rsidRPr="00DC63B0">
        <w:rPr>
          <w:sz w:val="28"/>
          <w:szCs w:val="28"/>
        </w:rPr>
        <w:t>При наличии возражений по акту Заказчик в течение 10 рабочих дней с момента получения акта должен вручить Исполнителю мотивированный отказ от подписания акта. Отсутствие мо</w:t>
      </w:r>
      <w:r>
        <w:rPr>
          <w:sz w:val="28"/>
          <w:szCs w:val="28"/>
        </w:rPr>
        <w:t>тивированного отказа Заказчика С</w:t>
      </w:r>
      <w:r w:rsidRPr="00DC63B0">
        <w:rPr>
          <w:sz w:val="28"/>
          <w:szCs w:val="28"/>
        </w:rPr>
        <w:t>тороны считают фактическим принятием результа</w:t>
      </w:r>
      <w:r w:rsidRPr="00563184">
        <w:rPr>
          <w:sz w:val="28"/>
          <w:szCs w:val="28"/>
        </w:rPr>
        <w:t>та</w:t>
      </w:r>
      <w:r w:rsidRPr="00DC63B0">
        <w:rPr>
          <w:sz w:val="28"/>
          <w:szCs w:val="28"/>
        </w:rPr>
        <w:t xml:space="preserve"> работ, который подлежит оплате на </w:t>
      </w:r>
      <w:r w:rsidRPr="00563184">
        <w:rPr>
          <w:sz w:val="28"/>
          <w:szCs w:val="28"/>
        </w:rPr>
        <w:t>основании акта</w:t>
      </w:r>
      <w:r>
        <w:rPr>
          <w:sz w:val="28"/>
          <w:szCs w:val="28"/>
        </w:rPr>
        <w:t xml:space="preserve"> </w:t>
      </w:r>
      <w:r w:rsidR="004C1B67">
        <w:rPr>
          <w:sz w:val="28"/>
          <w:szCs w:val="28"/>
        </w:rPr>
        <w:t>исполнителя.</w:t>
      </w:r>
    </w:p>
    <w:p w:rsidR="001A2446" w:rsidRPr="00DC63B0" w:rsidRDefault="001A2446" w:rsidP="001A2446">
      <w:pPr>
        <w:pStyle w:val="a7"/>
        <w:ind w:left="0"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 xml:space="preserve">14. Исполнитель вправе составить акт, как на все выполненные работы, так и на отдельные работы, указанные в </w:t>
      </w:r>
      <w:r w:rsidR="00C05BB6" w:rsidRPr="00DC63B0">
        <w:rPr>
          <w:sz w:val="28"/>
          <w:szCs w:val="28"/>
        </w:rPr>
        <w:t>под</w:t>
      </w:r>
      <w:r w:rsidRPr="00DC63B0">
        <w:rPr>
          <w:sz w:val="28"/>
          <w:szCs w:val="28"/>
        </w:rPr>
        <w:t xml:space="preserve">пунктах 1.1. – 1.4. настоящего договора. </w:t>
      </w:r>
    </w:p>
    <w:p w:rsidR="004F626C" w:rsidRPr="00DC63B0" w:rsidRDefault="001A2446" w:rsidP="004F626C">
      <w:pPr>
        <w:pStyle w:val="a7"/>
        <w:ind w:left="0"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>15. При получении от Заказчика мотивированного отказа от подписания акта в порядке, установленном пунктом 13 настоящего договора, Исполнитель производит проверку качества и объемов выполненных работ, при необходимости за свой счет устраняет недостатки, допущенные по его вине. Работы, которые должн</w:t>
      </w:r>
      <w:r w:rsidR="00F11EF8">
        <w:rPr>
          <w:sz w:val="28"/>
          <w:szCs w:val="28"/>
        </w:rPr>
        <w:t>ы</w:t>
      </w:r>
      <w:r w:rsidRPr="00DC63B0">
        <w:rPr>
          <w:sz w:val="28"/>
          <w:szCs w:val="28"/>
        </w:rPr>
        <w:t xml:space="preserve"> быть выполнены дополнительно, оплачиваются Заказчиком. После устранения недостатков, выполнения дополнительных работ</w:t>
      </w:r>
      <w:r w:rsidR="00ED0977">
        <w:rPr>
          <w:sz w:val="28"/>
          <w:szCs w:val="28"/>
        </w:rPr>
        <w:t>,</w:t>
      </w:r>
      <w:r w:rsidRPr="00DC63B0">
        <w:rPr>
          <w:sz w:val="28"/>
          <w:szCs w:val="28"/>
        </w:rPr>
        <w:t xml:space="preserve"> стороны подписывают акт в соответствии с пунктом 13 настоящего договора.</w:t>
      </w:r>
    </w:p>
    <w:p w:rsidR="004F626C" w:rsidRPr="00DC63B0" w:rsidRDefault="004F626C" w:rsidP="004F626C">
      <w:pPr>
        <w:pStyle w:val="a7"/>
        <w:ind w:left="0"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>16. В случае отказа Заказчика от ремонта, от замены неисправных термопреобразовате</w:t>
      </w:r>
      <w:r w:rsidR="00E70CA2">
        <w:rPr>
          <w:sz w:val="28"/>
          <w:szCs w:val="28"/>
        </w:rPr>
        <w:t>лей сопротивления</w:t>
      </w:r>
      <w:r w:rsidR="00ED0977">
        <w:rPr>
          <w:sz w:val="28"/>
          <w:szCs w:val="28"/>
        </w:rPr>
        <w:t>,</w:t>
      </w:r>
      <w:bookmarkStart w:id="0" w:name="_GoBack"/>
      <w:bookmarkEnd w:id="0"/>
      <w:r w:rsidR="00E70CA2">
        <w:rPr>
          <w:sz w:val="28"/>
          <w:szCs w:val="28"/>
        </w:rPr>
        <w:t xml:space="preserve"> Исполнителем </w:t>
      </w:r>
      <w:r w:rsidRPr="00DC63B0">
        <w:rPr>
          <w:sz w:val="28"/>
          <w:szCs w:val="28"/>
        </w:rPr>
        <w:t>выдаётся извещение о непригодности «прибора».</w:t>
      </w:r>
    </w:p>
    <w:p w:rsidR="004F626C" w:rsidRPr="00DC63B0" w:rsidRDefault="004F626C" w:rsidP="004F626C">
      <w:pPr>
        <w:pStyle w:val="a7"/>
        <w:ind w:left="0" w:firstLine="851"/>
        <w:jc w:val="both"/>
        <w:rPr>
          <w:sz w:val="28"/>
          <w:szCs w:val="28"/>
        </w:rPr>
      </w:pPr>
      <w:r w:rsidRPr="00DC63B0">
        <w:rPr>
          <w:sz w:val="28"/>
          <w:szCs w:val="28"/>
        </w:rPr>
        <w:t>17. В случае представления «приборов» вне согласованного</w:t>
      </w:r>
      <w:r w:rsidR="00472DBC" w:rsidRPr="00DC63B0">
        <w:rPr>
          <w:sz w:val="28"/>
          <w:szCs w:val="28"/>
        </w:rPr>
        <w:t xml:space="preserve"> сторонами</w:t>
      </w:r>
      <w:r w:rsidRPr="00DC63B0">
        <w:rPr>
          <w:sz w:val="28"/>
          <w:szCs w:val="28"/>
        </w:rPr>
        <w:t xml:space="preserve"> графика поверки, срок выполнения работ устанавливается по соглашению сторон и в зависимости от загрузки оборудования Исполнителя.</w:t>
      </w:r>
    </w:p>
    <w:p w:rsidR="00140A51" w:rsidRPr="003540B7" w:rsidRDefault="00140A51" w:rsidP="00140A51">
      <w:pPr>
        <w:pStyle w:val="a7"/>
        <w:ind w:left="0" w:firstLine="851"/>
        <w:jc w:val="both"/>
        <w:rPr>
          <w:sz w:val="28"/>
          <w:szCs w:val="28"/>
        </w:rPr>
      </w:pPr>
      <w:r w:rsidRPr="003540B7">
        <w:rPr>
          <w:sz w:val="28"/>
          <w:szCs w:val="28"/>
        </w:rPr>
        <w:t xml:space="preserve">18. </w:t>
      </w:r>
      <w:r w:rsidR="00D05ED0" w:rsidRPr="003540B7">
        <w:rPr>
          <w:sz w:val="28"/>
          <w:szCs w:val="28"/>
        </w:rPr>
        <w:t>При получении приборов из поверки, Заказчик обязан представить Исполнителю: два экземпляра подписанных и скрепленных печатью Заказчика акта выполненных работ</w:t>
      </w:r>
      <w:r w:rsidRPr="003540B7">
        <w:rPr>
          <w:sz w:val="28"/>
          <w:szCs w:val="28"/>
        </w:rPr>
        <w:t>, копию платежного поручения, доверенность. Датой оказания услуг в актах выполненных работ является дата отгрузки приборов из поверки.</w:t>
      </w:r>
    </w:p>
    <w:p w:rsidR="00140A51" w:rsidRPr="00DC63B0" w:rsidRDefault="00140A51" w:rsidP="00140A51">
      <w:pPr>
        <w:pStyle w:val="a7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DC63B0">
        <w:rPr>
          <w:sz w:val="28"/>
          <w:szCs w:val="28"/>
        </w:rPr>
        <w:t>. В случае возникновения обстоятельств непреодолимой силы, срок может быть продлён с уведомлением Заказчика.</w:t>
      </w:r>
    </w:p>
    <w:p w:rsidR="00140A51" w:rsidRPr="00DC63B0" w:rsidRDefault="00140A51" w:rsidP="00140A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Pr="00DC63B0">
        <w:rPr>
          <w:sz w:val="28"/>
          <w:szCs w:val="28"/>
        </w:rPr>
        <w:t>. Гарантийный срок при ремонте «прибора» составляет 6 месяцев в части произведенного ремонта. Гарантийные обязательства не выполняются при нарушенных пломбах и несоблюдении Заказчиком условий эксплуатации.</w:t>
      </w:r>
    </w:p>
    <w:p w:rsidR="00140A51" w:rsidRDefault="00140A51" w:rsidP="00140A51">
      <w:pPr>
        <w:tabs>
          <w:tab w:val="left" w:pos="567"/>
        </w:tabs>
        <w:ind w:left="426" w:firstLine="851"/>
        <w:jc w:val="center"/>
        <w:rPr>
          <w:b/>
          <w:sz w:val="28"/>
          <w:szCs w:val="28"/>
        </w:rPr>
      </w:pPr>
    </w:p>
    <w:p w:rsidR="00140A51" w:rsidRPr="00DC63B0" w:rsidRDefault="00140A51" w:rsidP="00140A51">
      <w:pPr>
        <w:tabs>
          <w:tab w:val="left" w:pos="567"/>
        </w:tabs>
        <w:ind w:left="426" w:firstLine="851"/>
        <w:jc w:val="center"/>
        <w:rPr>
          <w:b/>
          <w:sz w:val="28"/>
          <w:szCs w:val="28"/>
        </w:rPr>
      </w:pPr>
      <w:r w:rsidRPr="00DC63B0">
        <w:rPr>
          <w:b/>
          <w:sz w:val="28"/>
          <w:szCs w:val="28"/>
        </w:rPr>
        <w:t xml:space="preserve"> Ответственность сторон</w:t>
      </w:r>
    </w:p>
    <w:p w:rsidR="00140A51" w:rsidRDefault="00140A51" w:rsidP="00140A51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DC63B0">
        <w:rPr>
          <w:sz w:val="28"/>
          <w:szCs w:val="28"/>
        </w:rPr>
        <w:t>. Споры, вытекающие из исполнения настоящего договора, решаются путем переговоров. Претензионный порядок урегулирования споров является обязательным. При не достижении согласия спор передается на рассмотрение в экономический суд Витебской области.</w:t>
      </w:r>
    </w:p>
    <w:p w:rsidR="00140A51" w:rsidRDefault="000C5B37" w:rsidP="00140A51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140A51" w:rsidRPr="00DC63B0">
        <w:rPr>
          <w:sz w:val="28"/>
          <w:szCs w:val="28"/>
        </w:rPr>
        <w:t>Заказчик</w:t>
      </w:r>
      <w:r w:rsidR="00140A51">
        <w:rPr>
          <w:sz w:val="28"/>
          <w:szCs w:val="28"/>
        </w:rPr>
        <w:t>,</w:t>
      </w:r>
      <w:r w:rsidR="00140A51" w:rsidRPr="00DC63B0">
        <w:rPr>
          <w:sz w:val="28"/>
          <w:szCs w:val="28"/>
        </w:rPr>
        <w:t xml:space="preserve"> в </w:t>
      </w:r>
      <w:r w:rsidR="00140A51">
        <w:rPr>
          <w:sz w:val="28"/>
          <w:szCs w:val="28"/>
        </w:rPr>
        <w:t>случае нарушения сроков оплаты</w:t>
      </w:r>
      <w:r w:rsidR="00140A51" w:rsidRPr="00DC63B0">
        <w:rPr>
          <w:sz w:val="28"/>
          <w:szCs w:val="28"/>
        </w:rPr>
        <w:t xml:space="preserve"> работ по настоящему договору, включая ремонт, уплачивает Исполнителю пен</w:t>
      </w:r>
      <w:r w:rsidR="00140A51">
        <w:rPr>
          <w:sz w:val="28"/>
          <w:szCs w:val="28"/>
        </w:rPr>
        <w:t xml:space="preserve">ю в размере 0,15% от стоимости </w:t>
      </w:r>
      <w:r w:rsidR="00140A51" w:rsidRPr="00DC63B0">
        <w:rPr>
          <w:sz w:val="28"/>
          <w:szCs w:val="28"/>
        </w:rPr>
        <w:t>неоплаченных работ отдельно за каждый день просрочки.</w:t>
      </w:r>
    </w:p>
    <w:p w:rsidR="00140A51" w:rsidRPr="00DC63B0" w:rsidRDefault="000C5B37" w:rsidP="00140A51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140A51" w:rsidRPr="00DC63B0">
        <w:rPr>
          <w:sz w:val="28"/>
          <w:szCs w:val="28"/>
        </w:rPr>
        <w:t>Заказчик</w:t>
      </w:r>
      <w:r w:rsidR="00140A51">
        <w:rPr>
          <w:sz w:val="28"/>
          <w:szCs w:val="28"/>
        </w:rPr>
        <w:t>,</w:t>
      </w:r>
      <w:r w:rsidR="00140A51" w:rsidRPr="00DC63B0">
        <w:rPr>
          <w:sz w:val="28"/>
          <w:szCs w:val="28"/>
        </w:rPr>
        <w:t xml:space="preserve"> в случае нарушения сроков приёмки выполненны</w:t>
      </w:r>
      <w:r w:rsidR="00140A51">
        <w:rPr>
          <w:sz w:val="28"/>
          <w:szCs w:val="28"/>
        </w:rPr>
        <w:t xml:space="preserve">х работ, </w:t>
      </w:r>
      <w:r w:rsidR="00140A51" w:rsidRPr="00DC63B0">
        <w:rPr>
          <w:sz w:val="28"/>
          <w:szCs w:val="28"/>
        </w:rPr>
        <w:t>уплачивает Исполнителю пеню в ра</w:t>
      </w:r>
      <w:r w:rsidR="00140A51">
        <w:rPr>
          <w:sz w:val="28"/>
          <w:szCs w:val="28"/>
        </w:rPr>
        <w:t xml:space="preserve">змере 0,15% от стоимости работ </w:t>
      </w:r>
      <w:r w:rsidR="00140A51" w:rsidRPr="00DC63B0">
        <w:rPr>
          <w:sz w:val="28"/>
          <w:szCs w:val="28"/>
        </w:rPr>
        <w:t>за каждый день просрочки.</w:t>
      </w:r>
    </w:p>
    <w:p w:rsidR="00A7288D" w:rsidRPr="000A21B4" w:rsidRDefault="000C5B37" w:rsidP="000A21B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DC63B0">
        <w:rPr>
          <w:sz w:val="28"/>
          <w:szCs w:val="28"/>
        </w:rPr>
        <w:t>Исполнитель за нарушение срока выполнения работ уплачивает Заказчику пен</w:t>
      </w:r>
      <w:r>
        <w:rPr>
          <w:sz w:val="28"/>
          <w:szCs w:val="28"/>
        </w:rPr>
        <w:t xml:space="preserve">ю в размере 0,15% от стоимости </w:t>
      </w:r>
      <w:r w:rsidRPr="00DC63B0">
        <w:rPr>
          <w:sz w:val="28"/>
          <w:szCs w:val="28"/>
        </w:rPr>
        <w:t>невыполненной работы за каждый день просрочки, кроме случаев, указанных</w:t>
      </w:r>
      <w:r>
        <w:rPr>
          <w:sz w:val="28"/>
          <w:szCs w:val="28"/>
        </w:rPr>
        <w:t xml:space="preserve"> в пунктах 17 и </w:t>
      </w:r>
      <w:r w:rsidRPr="000C5B37">
        <w:rPr>
          <w:color w:val="FF0000"/>
          <w:sz w:val="28"/>
          <w:szCs w:val="28"/>
        </w:rPr>
        <w:t xml:space="preserve">19 </w:t>
      </w:r>
      <w:r w:rsidRPr="00DC63B0">
        <w:rPr>
          <w:sz w:val="28"/>
          <w:szCs w:val="28"/>
        </w:rPr>
        <w:t>настоящего договора.</w:t>
      </w:r>
    </w:p>
    <w:p w:rsidR="00A7288D" w:rsidRPr="00DC63B0" w:rsidRDefault="00A7288D" w:rsidP="00A7288D">
      <w:pPr>
        <w:ind w:left="426" w:hanging="426"/>
        <w:jc w:val="center"/>
        <w:rPr>
          <w:b/>
          <w:sz w:val="28"/>
          <w:szCs w:val="28"/>
        </w:rPr>
      </w:pPr>
      <w:r w:rsidRPr="00DC63B0">
        <w:rPr>
          <w:b/>
          <w:sz w:val="28"/>
          <w:szCs w:val="28"/>
        </w:rPr>
        <w:t>Срок действия договора</w:t>
      </w:r>
    </w:p>
    <w:p w:rsidR="00254F26" w:rsidRPr="00254F26" w:rsidRDefault="00254F26" w:rsidP="00254F26">
      <w:pPr>
        <w:pStyle w:val="a4"/>
        <w:ind w:firstLine="851"/>
        <w:jc w:val="both"/>
        <w:rPr>
          <w:sz w:val="28"/>
          <w:szCs w:val="28"/>
        </w:rPr>
      </w:pPr>
      <w:r w:rsidRPr="00254F26">
        <w:rPr>
          <w:sz w:val="28"/>
          <w:szCs w:val="28"/>
        </w:rPr>
        <w:t>2</w:t>
      </w:r>
      <w:r w:rsidR="000C5B37">
        <w:rPr>
          <w:sz w:val="28"/>
          <w:szCs w:val="28"/>
        </w:rPr>
        <w:t>5</w:t>
      </w:r>
      <w:r w:rsidRPr="00254F26">
        <w:rPr>
          <w:sz w:val="28"/>
          <w:szCs w:val="28"/>
        </w:rPr>
        <w:t>. Настоящий договор составлен в двух экземплярах, один из которых находится у Исполнителя, другой у Заказчика.</w:t>
      </w:r>
    </w:p>
    <w:p w:rsidR="00254F26" w:rsidRDefault="000C5B37" w:rsidP="00254F26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254F26" w:rsidRPr="00DC63B0">
        <w:rPr>
          <w:sz w:val="28"/>
          <w:szCs w:val="28"/>
        </w:rPr>
        <w:t xml:space="preserve">. Договор вступает в силу с момента подписания </w:t>
      </w:r>
      <w:r w:rsidR="00254F26">
        <w:rPr>
          <w:sz w:val="28"/>
          <w:szCs w:val="28"/>
        </w:rPr>
        <w:t>его обеими сторонами</w:t>
      </w:r>
      <w:r w:rsidR="00254F26" w:rsidRPr="00DC63B0">
        <w:rPr>
          <w:sz w:val="28"/>
          <w:szCs w:val="28"/>
        </w:rPr>
        <w:t xml:space="preserve"> и действует в течение трех лет с момента подписания, а в части обязательств, возникших из договора, – до их полного исполнения сторонами.</w:t>
      </w:r>
    </w:p>
    <w:p w:rsidR="00254F26" w:rsidRPr="00254F26" w:rsidRDefault="00254F26" w:rsidP="00254F26">
      <w:pPr>
        <w:pStyle w:val="a4"/>
        <w:ind w:firstLine="851"/>
        <w:jc w:val="both"/>
        <w:rPr>
          <w:sz w:val="28"/>
          <w:szCs w:val="28"/>
        </w:rPr>
      </w:pPr>
      <w:r w:rsidRPr="00254F26">
        <w:rPr>
          <w:sz w:val="28"/>
          <w:szCs w:val="28"/>
        </w:rPr>
        <w:t>2</w:t>
      </w:r>
      <w:r w:rsidR="000C5B37">
        <w:rPr>
          <w:sz w:val="28"/>
          <w:szCs w:val="28"/>
        </w:rPr>
        <w:t>7</w:t>
      </w:r>
      <w:r w:rsidRPr="00254F26">
        <w:rPr>
          <w:sz w:val="28"/>
          <w:szCs w:val="28"/>
        </w:rPr>
        <w:t>.</w:t>
      </w:r>
      <w:r w:rsidR="00F11EF8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Договор</w:t>
      </w:r>
      <w:r w:rsidRPr="00254F26">
        <w:rPr>
          <w:sz w:val="28"/>
          <w:szCs w:val="28"/>
        </w:rPr>
        <w:t xml:space="preserve">, </w:t>
      </w:r>
      <w:r w:rsidRPr="00254F26">
        <w:rPr>
          <w:rFonts w:hint="eastAsia"/>
          <w:sz w:val="28"/>
          <w:szCs w:val="28"/>
        </w:rPr>
        <w:t>включая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приложения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к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нему</w:t>
      </w:r>
      <w:r w:rsidRPr="00254F26">
        <w:rPr>
          <w:sz w:val="28"/>
          <w:szCs w:val="28"/>
        </w:rPr>
        <w:t xml:space="preserve">, </w:t>
      </w:r>
      <w:r w:rsidRPr="00254F26">
        <w:rPr>
          <w:rFonts w:hint="eastAsia"/>
          <w:sz w:val="28"/>
          <w:szCs w:val="28"/>
        </w:rPr>
        <w:t>а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также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любые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другие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документы</w:t>
      </w:r>
      <w:r w:rsidRPr="00254F26">
        <w:rPr>
          <w:sz w:val="28"/>
          <w:szCs w:val="28"/>
        </w:rPr>
        <w:t xml:space="preserve">, </w:t>
      </w:r>
      <w:r w:rsidRPr="00254F26">
        <w:rPr>
          <w:rFonts w:hint="eastAsia"/>
          <w:sz w:val="28"/>
          <w:szCs w:val="28"/>
        </w:rPr>
        <w:t>упомянутые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в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нем</w:t>
      </w:r>
      <w:r w:rsidRPr="00254F26">
        <w:rPr>
          <w:sz w:val="28"/>
          <w:szCs w:val="28"/>
        </w:rPr>
        <w:t xml:space="preserve">, </w:t>
      </w:r>
      <w:r w:rsidRPr="00254F26">
        <w:rPr>
          <w:rFonts w:hint="eastAsia"/>
          <w:sz w:val="28"/>
          <w:szCs w:val="28"/>
        </w:rPr>
        <w:t>подписанные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Сторонами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и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переданные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посредством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факсимильной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связи</w:t>
      </w:r>
      <w:r w:rsidRPr="00254F26">
        <w:rPr>
          <w:sz w:val="28"/>
          <w:szCs w:val="28"/>
        </w:rPr>
        <w:t xml:space="preserve"> (</w:t>
      </w:r>
      <w:r w:rsidRPr="00254F26">
        <w:rPr>
          <w:rFonts w:hint="eastAsia"/>
          <w:sz w:val="28"/>
          <w:szCs w:val="28"/>
        </w:rPr>
        <w:t>электронной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почты</w:t>
      </w:r>
      <w:r w:rsidRPr="00254F26">
        <w:rPr>
          <w:sz w:val="28"/>
          <w:szCs w:val="28"/>
        </w:rPr>
        <w:t xml:space="preserve">), </w:t>
      </w:r>
      <w:r w:rsidRPr="00254F26">
        <w:rPr>
          <w:rFonts w:hint="eastAsia"/>
          <w:sz w:val="28"/>
          <w:szCs w:val="28"/>
        </w:rPr>
        <w:t>имеют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юридическую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силу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до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момента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подписания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оригиналов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документов</w:t>
      </w:r>
      <w:r w:rsidRPr="00254F26">
        <w:rPr>
          <w:sz w:val="28"/>
          <w:szCs w:val="28"/>
        </w:rPr>
        <w:t xml:space="preserve">, </w:t>
      </w:r>
      <w:r w:rsidRPr="00254F26">
        <w:rPr>
          <w:rFonts w:hint="eastAsia"/>
          <w:sz w:val="28"/>
          <w:szCs w:val="28"/>
        </w:rPr>
        <w:t>идентичных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их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факсимильным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копиям</w:t>
      </w:r>
      <w:r w:rsidRPr="00254F26">
        <w:rPr>
          <w:sz w:val="28"/>
          <w:szCs w:val="28"/>
        </w:rPr>
        <w:t xml:space="preserve">. </w:t>
      </w:r>
      <w:r w:rsidRPr="00254F26">
        <w:rPr>
          <w:rFonts w:hint="eastAsia"/>
          <w:sz w:val="28"/>
          <w:szCs w:val="28"/>
        </w:rPr>
        <w:t>Стороны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в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течение</w:t>
      </w:r>
      <w:r w:rsidRPr="00254F26">
        <w:rPr>
          <w:sz w:val="28"/>
          <w:szCs w:val="28"/>
        </w:rPr>
        <w:t xml:space="preserve"> 30 </w:t>
      </w:r>
      <w:r w:rsidRPr="00254F26">
        <w:rPr>
          <w:rFonts w:hint="eastAsia"/>
          <w:sz w:val="28"/>
          <w:szCs w:val="28"/>
        </w:rPr>
        <w:t>календарных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дней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после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подписания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документов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последней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из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Сторон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обязаны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обменяться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подписанными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оригиналами</w:t>
      </w:r>
      <w:r w:rsidRPr="00254F26">
        <w:rPr>
          <w:sz w:val="28"/>
          <w:szCs w:val="28"/>
        </w:rPr>
        <w:t xml:space="preserve"> </w:t>
      </w:r>
      <w:r w:rsidRPr="00254F26">
        <w:rPr>
          <w:rFonts w:hint="eastAsia"/>
          <w:sz w:val="28"/>
          <w:szCs w:val="28"/>
        </w:rPr>
        <w:t>документов</w:t>
      </w:r>
      <w:r w:rsidRPr="00254F26">
        <w:rPr>
          <w:sz w:val="28"/>
          <w:szCs w:val="28"/>
        </w:rPr>
        <w:t>.</w:t>
      </w:r>
    </w:p>
    <w:p w:rsidR="0000383C" w:rsidRDefault="006403DF" w:rsidP="00A8016B">
      <w:pPr>
        <w:jc w:val="center"/>
        <w:rPr>
          <w:b/>
          <w:sz w:val="28"/>
          <w:szCs w:val="28"/>
        </w:rPr>
      </w:pPr>
      <w:r w:rsidRPr="00DC63B0">
        <w:rPr>
          <w:b/>
          <w:sz w:val="25"/>
          <w:szCs w:val="25"/>
        </w:rPr>
        <w:t xml:space="preserve"> </w:t>
      </w:r>
      <w:r w:rsidRPr="00DC63B0">
        <w:rPr>
          <w:b/>
          <w:sz w:val="28"/>
          <w:szCs w:val="28"/>
        </w:rPr>
        <w:t xml:space="preserve">Юридические адреса </w:t>
      </w:r>
      <w:r w:rsidR="0000383C">
        <w:rPr>
          <w:b/>
          <w:sz w:val="28"/>
          <w:szCs w:val="28"/>
        </w:rPr>
        <w:t xml:space="preserve">и реквизиты </w:t>
      </w:r>
      <w:r w:rsidRPr="00DC63B0">
        <w:rPr>
          <w:b/>
          <w:sz w:val="28"/>
          <w:szCs w:val="28"/>
        </w:rPr>
        <w:t>сторон</w:t>
      </w:r>
    </w:p>
    <w:tbl>
      <w:tblPr>
        <w:tblpPr w:leftFromText="180" w:rightFromText="180" w:vertAnchor="text" w:horzAnchor="margin" w:tblpX="-284" w:tblpY="166"/>
        <w:tblW w:w="10728" w:type="dxa"/>
        <w:tblLayout w:type="fixed"/>
        <w:tblLook w:val="04A0" w:firstRow="1" w:lastRow="0" w:firstColumn="1" w:lastColumn="0" w:noHBand="0" w:noVBand="1"/>
      </w:tblPr>
      <w:tblGrid>
        <w:gridCol w:w="1806"/>
        <w:gridCol w:w="742"/>
        <w:gridCol w:w="939"/>
        <w:gridCol w:w="939"/>
        <w:gridCol w:w="1102"/>
        <w:gridCol w:w="236"/>
        <w:gridCol w:w="43"/>
        <w:gridCol w:w="65"/>
        <w:gridCol w:w="32"/>
        <w:gridCol w:w="96"/>
        <w:gridCol w:w="43"/>
        <w:gridCol w:w="2302"/>
        <w:gridCol w:w="722"/>
        <w:gridCol w:w="1628"/>
        <w:gridCol w:w="33"/>
      </w:tblGrid>
      <w:tr w:rsidR="0000383C" w:rsidRPr="001822B0" w:rsidTr="00DC0AB1">
        <w:trPr>
          <w:gridAfter w:val="2"/>
          <w:wAfter w:w="1661" w:type="dxa"/>
          <w:trHeight w:val="315"/>
        </w:trPr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83C" w:rsidRPr="00DC0AB1" w:rsidRDefault="00DC0AB1" w:rsidP="00DC0AB1">
            <w:pPr>
              <w:tabs>
                <w:tab w:val="left" w:pos="1830"/>
              </w:tabs>
              <w:ind w:left="-247" w:firstLine="247"/>
              <w:rPr>
                <w:b/>
                <w:bCs/>
                <w:sz w:val="28"/>
                <w:szCs w:val="28"/>
              </w:rPr>
            </w:pPr>
            <w:r w:rsidRPr="00DC0AB1">
              <w:rPr>
                <w:b/>
                <w:bCs/>
                <w:sz w:val="28"/>
                <w:szCs w:val="28"/>
              </w:rPr>
              <w:t>ИСПОЛНИТЕЛЬ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83C" w:rsidRPr="001822B0" w:rsidRDefault="0000383C" w:rsidP="00DC0AB1">
            <w:pPr>
              <w:tabs>
                <w:tab w:val="left" w:pos="1773"/>
              </w:tabs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83C" w:rsidRPr="001822B0" w:rsidRDefault="0000383C" w:rsidP="00DC0AB1">
            <w:pPr>
              <w:tabs>
                <w:tab w:val="left" w:pos="1773"/>
              </w:tabs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83C" w:rsidRPr="001822B0" w:rsidRDefault="0000383C" w:rsidP="00DC0AB1">
            <w:pPr>
              <w:tabs>
                <w:tab w:val="left" w:pos="1773"/>
              </w:tabs>
              <w:rPr>
                <w:sz w:val="28"/>
                <w:szCs w:val="28"/>
              </w:rPr>
            </w:pPr>
          </w:p>
        </w:tc>
        <w:tc>
          <w:tcPr>
            <w:tcW w:w="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83C" w:rsidRPr="001822B0" w:rsidRDefault="0000383C" w:rsidP="00DC0A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83C" w:rsidRPr="00DC0AB1" w:rsidRDefault="00DC0AB1" w:rsidP="00DC0AB1">
            <w:pPr>
              <w:rPr>
                <w:b/>
                <w:bCs/>
                <w:sz w:val="28"/>
                <w:szCs w:val="28"/>
              </w:rPr>
            </w:pPr>
            <w:r w:rsidRPr="00DC0AB1">
              <w:rPr>
                <w:b/>
                <w:bCs/>
                <w:sz w:val="28"/>
                <w:szCs w:val="28"/>
              </w:rPr>
              <w:t>ЗАКАЗЧИК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83C" w:rsidRPr="001822B0" w:rsidRDefault="0000383C" w:rsidP="00DC0A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0383C" w:rsidRPr="00FC7BA5" w:rsidTr="00DC0AB1">
        <w:trPr>
          <w:gridAfter w:val="1"/>
          <w:wAfter w:w="32" w:type="dxa"/>
          <w:trHeight w:val="300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F8" w:rsidRDefault="00F11EF8" w:rsidP="00DC0AB1">
            <w:pPr>
              <w:tabs>
                <w:tab w:val="left" w:pos="17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РУП «Витебскэнерго»</w:t>
            </w:r>
          </w:p>
          <w:p w:rsidR="00F11EF8" w:rsidRDefault="00F11EF8" w:rsidP="00DC0AB1">
            <w:pPr>
              <w:tabs>
                <w:tab w:val="left" w:pos="17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210029, г. Витебск, ул. Правды, 30</w:t>
            </w:r>
          </w:p>
          <w:p w:rsidR="0045625F" w:rsidRDefault="0045625F" w:rsidP="00DC0AB1">
            <w:pPr>
              <w:tabs>
                <w:tab w:val="left" w:pos="17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00383C" w:rsidRPr="001822B0">
              <w:rPr>
                <w:sz w:val="28"/>
                <w:szCs w:val="28"/>
              </w:rPr>
              <w:t xml:space="preserve">илиал "Учебный центр" </w:t>
            </w:r>
          </w:p>
          <w:p w:rsidR="0000383C" w:rsidRPr="001822B0" w:rsidRDefault="0000383C" w:rsidP="00DC0AB1">
            <w:pPr>
              <w:tabs>
                <w:tab w:val="left" w:pos="1773"/>
              </w:tabs>
              <w:rPr>
                <w:sz w:val="28"/>
                <w:szCs w:val="28"/>
              </w:rPr>
            </w:pPr>
            <w:r w:rsidRPr="001822B0">
              <w:rPr>
                <w:sz w:val="28"/>
                <w:szCs w:val="28"/>
              </w:rPr>
              <w:t>РУП "Витебскэнерго"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83C" w:rsidRPr="001822B0" w:rsidRDefault="0000383C" w:rsidP="00DC0A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383C" w:rsidRPr="00FC7BA5" w:rsidRDefault="0000383C" w:rsidP="00DC0AB1">
            <w:pPr>
              <w:rPr>
                <w:sz w:val="28"/>
                <w:szCs w:val="28"/>
              </w:rPr>
            </w:pPr>
          </w:p>
        </w:tc>
      </w:tr>
      <w:tr w:rsidR="0000383C" w:rsidRPr="00C733C4" w:rsidTr="00DC0AB1">
        <w:trPr>
          <w:gridAfter w:val="1"/>
          <w:wAfter w:w="32" w:type="dxa"/>
          <w:trHeight w:val="300"/>
        </w:trPr>
        <w:tc>
          <w:tcPr>
            <w:tcW w:w="55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AB1" w:rsidRDefault="0000383C" w:rsidP="00DC0AB1">
            <w:pPr>
              <w:tabs>
                <w:tab w:val="left" w:pos="1773"/>
              </w:tabs>
              <w:ind w:right="617"/>
              <w:rPr>
                <w:sz w:val="28"/>
                <w:szCs w:val="28"/>
              </w:rPr>
            </w:pPr>
            <w:r w:rsidRPr="001822B0">
              <w:rPr>
                <w:sz w:val="28"/>
                <w:szCs w:val="28"/>
              </w:rPr>
              <w:t>21001</w:t>
            </w:r>
            <w:r w:rsidR="00DC0AB1">
              <w:rPr>
                <w:sz w:val="28"/>
                <w:szCs w:val="28"/>
              </w:rPr>
              <w:t>7, г. Витебск, ул. Полярная, 38</w:t>
            </w:r>
            <w:r w:rsidRPr="001822B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br/>
            </w:r>
            <w:r w:rsidR="00DC0AB1">
              <w:rPr>
                <w:sz w:val="28"/>
                <w:szCs w:val="28"/>
              </w:rPr>
              <w:t>р</w:t>
            </w:r>
            <w:r w:rsidR="0070685E">
              <w:rPr>
                <w:sz w:val="28"/>
                <w:szCs w:val="28"/>
              </w:rPr>
              <w:t>.</w:t>
            </w:r>
            <w:r w:rsidR="00DC0AB1">
              <w:rPr>
                <w:sz w:val="28"/>
                <w:szCs w:val="28"/>
              </w:rPr>
              <w:t>с</w:t>
            </w:r>
            <w:r w:rsidR="0070685E">
              <w:rPr>
                <w:sz w:val="28"/>
                <w:szCs w:val="28"/>
              </w:rPr>
              <w:t>.</w:t>
            </w:r>
            <w:r w:rsidR="00DC0AB1">
              <w:rPr>
                <w:sz w:val="28"/>
                <w:szCs w:val="28"/>
              </w:rPr>
              <w:t xml:space="preserve"> </w:t>
            </w:r>
            <w:r w:rsidRPr="002E0D09">
              <w:rPr>
                <w:sz w:val="28"/>
                <w:szCs w:val="28"/>
              </w:rPr>
              <w:t>BY34</w:t>
            </w:r>
            <w:r w:rsidR="00DC0AB1">
              <w:rPr>
                <w:sz w:val="28"/>
                <w:szCs w:val="28"/>
              </w:rPr>
              <w:t>BAPB30127522500100000000 в ОАО «</w:t>
            </w:r>
            <w:r w:rsidRPr="002E0D09">
              <w:rPr>
                <w:sz w:val="28"/>
                <w:szCs w:val="28"/>
              </w:rPr>
              <w:t>Белагропромбанк</w:t>
            </w:r>
            <w:r w:rsidR="00DC0AB1">
              <w:rPr>
                <w:sz w:val="28"/>
                <w:szCs w:val="28"/>
              </w:rPr>
              <w:t>»</w:t>
            </w:r>
            <w:r w:rsidR="00DC0AB1" w:rsidRPr="00DC0AB1">
              <w:rPr>
                <w:sz w:val="22"/>
                <w:szCs w:val="22"/>
                <w:lang w:val="be-BY"/>
              </w:rPr>
              <w:t xml:space="preserve"> </w:t>
            </w:r>
            <w:r w:rsidR="00DC0AB1" w:rsidRPr="00DC0AB1">
              <w:rPr>
                <w:sz w:val="28"/>
                <w:szCs w:val="28"/>
                <w:lang w:val="be-BY"/>
              </w:rPr>
              <w:t>г. Минск, пр-т Жукова, 3</w:t>
            </w:r>
            <w:r w:rsidR="00DC0AB1">
              <w:rPr>
                <w:sz w:val="28"/>
                <w:szCs w:val="28"/>
                <w:lang w:val="be-BY"/>
              </w:rPr>
              <w:t xml:space="preserve">, </w:t>
            </w:r>
            <w:r w:rsidRPr="002E0D09">
              <w:rPr>
                <w:sz w:val="28"/>
                <w:szCs w:val="28"/>
              </w:rPr>
              <w:t>БИК BAPBBY2X</w:t>
            </w:r>
            <w:r w:rsidR="00DC0AB1">
              <w:rPr>
                <w:sz w:val="28"/>
                <w:szCs w:val="28"/>
              </w:rPr>
              <w:t>,</w:t>
            </w:r>
            <w:r w:rsidRPr="002E0D09">
              <w:rPr>
                <w:sz w:val="28"/>
                <w:szCs w:val="28"/>
              </w:rPr>
              <w:t xml:space="preserve"> </w:t>
            </w:r>
          </w:p>
          <w:p w:rsidR="00DC0AB1" w:rsidRDefault="0000383C" w:rsidP="00DC0AB1">
            <w:pPr>
              <w:tabs>
                <w:tab w:val="left" w:pos="1773"/>
              </w:tabs>
              <w:ind w:right="617"/>
              <w:rPr>
                <w:sz w:val="28"/>
                <w:szCs w:val="28"/>
              </w:rPr>
            </w:pPr>
            <w:r w:rsidRPr="002E0D09">
              <w:rPr>
                <w:sz w:val="28"/>
                <w:szCs w:val="28"/>
              </w:rPr>
              <w:t>код филиала для ЭСЧФ 0705</w:t>
            </w:r>
            <w:r w:rsidRPr="00DC63B0">
              <w:rPr>
                <w:sz w:val="28"/>
                <w:szCs w:val="28"/>
              </w:rPr>
              <w:t xml:space="preserve">, </w:t>
            </w:r>
          </w:p>
          <w:p w:rsidR="0000383C" w:rsidRDefault="0000383C" w:rsidP="00DC0AB1">
            <w:pPr>
              <w:tabs>
                <w:tab w:val="left" w:pos="1773"/>
              </w:tabs>
              <w:ind w:right="6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УНП </w:t>
            </w:r>
            <w:r w:rsidRPr="001822B0">
              <w:rPr>
                <w:sz w:val="28"/>
                <w:szCs w:val="28"/>
              </w:rPr>
              <w:t>300000252</w:t>
            </w:r>
          </w:p>
          <w:p w:rsidR="00DC0AB1" w:rsidRPr="00C733C4" w:rsidRDefault="00DC0AB1" w:rsidP="00DC0AB1">
            <w:pPr>
              <w:tabs>
                <w:tab w:val="left" w:pos="1773"/>
              </w:tabs>
            </w:pPr>
            <w:r w:rsidRPr="001822B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ел./факс 8 (0212) 67 70 61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83C" w:rsidRPr="00C733C4" w:rsidRDefault="0000383C" w:rsidP="00DC0AB1">
            <w:pPr>
              <w:rPr>
                <w:rFonts w:ascii="Arial" w:hAnsi="Arial" w:cs="Arial"/>
              </w:rPr>
            </w:pPr>
          </w:p>
        </w:tc>
        <w:tc>
          <w:tcPr>
            <w:tcW w:w="48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383C" w:rsidRPr="00C733C4" w:rsidRDefault="0000383C" w:rsidP="00DC0AB1"/>
        </w:tc>
      </w:tr>
      <w:tr w:rsidR="0000383C" w:rsidRPr="00C733C4" w:rsidTr="00DC0AB1">
        <w:trPr>
          <w:gridAfter w:val="1"/>
          <w:wAfter w:w="32" w:type="dxa"/>
          <w:trHeight w:val="300"/>
        </w:trPr>
        <w:tc>
          <w:tcPr>
            <w:tcW w:w="55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383C" w:rsidRPr="00C733C4" w:rsidRDefault="0000383C" w:rsidP="00DC0AB1">
            <w:pPr>
              <w:rPr>
                <w:rFonts w:ascii="Arial" w:hAnsi="Arial" w:cs="Arial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83C" w:rsidRPr="00C733C4" w:rsidRDefault="0000383C" w:rsidP="00DC0AB1">
            <w:pPr>
              <w:rPr>
                <w:rFonts w:ascii="Arial" w:hAnsi="Arial" w:cs="Arial"/>
              </w:rPr>
            </w:pPr>
          </w:p>
        </w:tc>
        <w:tc>
          <w:tcPr>
            <w:tcW w:w="48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383C" w:rsidRPr="00C733C4" w:rsidRDefault="0000383C" w:rsidP="00DC0AB1"/>
        </w:tc>
      </w:tr>
      <w:tr w:rsidR="0000383C" w:rsidRPr="00C733C4" w:rsidTr="00DC0AB1">
        <w:trPr>
          <w:gridAfter w:val="1"/>
          <w:wAfter w:w="32" w:type="dxa"/>
          <w:trHeight w:val="300"/>
        </w:trPr>
        <w:tc>
          <w:tcPr>
            <w:tcW w:w="55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383C" w:rsidRPr="00C733C4" w:rsidRDefault="0000383C" w:rsidP="00DC0AB1">
            <w:pPr>
              <w:rPr>
                <w:rFonts w:ascii="Arial" w:hAnsi="Arial" w:cs="Arial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83C" w:rsidRPr="00C733C4" w:rsidRDefault="0000383C" w:rsidP="00DC0AB1">
            <w:pPr>
              <w:rPr>
                <w:rFonts w:ascii="Arial" w:hAnsi="Arial" w:cs="Arial"/>
              </w:rPr>
            </w:pPr>
          </w:p>
        </w:tc>
        <w:tc>
          <w:tcPr>
            <w:tcW w:w="48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383C" w:rsidRPr="00C733C4" w:rsidRDefault="0000383C" w:rsidP="00DC0AB1"/>
        </w:tc>
      </w:tr>
      <w:tr w:rsidR="0000383C" w:rsidRPr="00C733C4" w:rsidTr="00DC0AB1">
        <w:trPr>
          <w:gridAfter w:val="1"/>
          <w:wAfter w:w="32" w:type="dxa"/>
          <w:trHeight w:val="1200"/>
        </w:trPr>
        <w:tc>
          <w:tcPr>
            <w:tcW w:w="5529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383C" w:rsidRPr="00C733C4" w:rsidRDefault="0000383C" w:rsidP="00DC0AB1">
            <w:pPr>
              <w:rPr>
                <w:rFonts w:ascii="Arial" w:hAnsi="Arial" w:cs="Arial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83C" w:rsidRPr="00C733C4" w:rsidRDefault="0000383C" w:rsidP="00DC0AB1">
            <w:pPr>
              <w:rPr>
                <w:rFonts w:ascii="Arial" w:hAnsi="Arial" w:cs="Arial"/>
              </w:rPr>
            </w:pPr>
          </w:p>
        </w:tc>
        <w:tc>
          <w:tcPr>
            <w:tcW w:w="4823" w:type="dxa"/>
            <w:gridSpan w:val="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383C" w:rsidRPr="00C733C4" w:rsidRDefault="0000383C" w:rsidP="00DC0AB1"/>
        </w:tc>
      </w:tr>
      <w:tr w:rsidR="0000383C" w:rsidRPr="00C733C4" w:rsidTr="00DC0AB1">
        <w:trPr>
          <w:gridAfter w:val="2"/>
          <w:wAfter w:w="1661" w:type="dxa"/>
          <w:trHeight w:val="142"/>
        </w:trPr>
        <w:tc>
          <w:tcPr>
            <w:tcW w:w="5529" w:type="dxa"/>
            <w:gridSpan w:val="5"/>
            <w:shd w:val="clear" w:color="auto" w:fill="auto"/>
            <w:noWrap/>
            <w:vAlign w:val="bottom"/>
            <w:hideMark/>
          </w:tcPr>
          <w:p w:rsidR="00DC0AB1" w:rsidRDefault="00DC0AB1" w:rsidP="00DC0AB1">
            <w:pPr>
              <w:rPr>
                <w:iCs/>
                <w:sz w:val="28"/>
                <w:szCs w:val="28"/>
              </w:rPr>
            </w:pPr>
          </w:p>
          <w:p w:rsidR="0000383C" w:rsidRPr="00C733C4" w:rsidRDefault="00DC0AB1" w:rsidP="00DC0AB1">
            <w:pPr>
              <w:rPr>
                <w:rFonts w:ascii="Arial" w:hAnsi="Arial" w:cs="Arial"/>
              </w:rPr>
            </w:pPr>
            <w:r>
              <w:rPr>
                <w:iCs/>
                <w:sz w:val="28"/>
                <w:szCs w:val="28"/>
              </w:rPr>
              <w:t>Начальник лаборатории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00383C" w:rsidRPr="00C733C4" w:rsidRDefault="0000383C" w:rsidP="00DC0AB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shd w:val="clear" w:color="auto" w:fill="auto"/>
            <w:noWrap/>
            <w:vAlign w:val="bottom"/>
            <w:hideMark/>
          </w:tcPr>
          <w:p w:rsidR="0000383C" w:rsidRPr="00C733C4" w:rsidRDefault="0000383C" w:rsidP="00DC0AB1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gridSpan w:val="2"/>
            <w:shd w:val="clear" w:color="auto" w:fill="auto"/>
            <w:noWrap/>
            <w:vAlign w:val="bottom"/>
            <w:hideMark/>
          </w:tcPr>
          <w:p w:rsidR="0000383C" w:rsidRPr="00FC7BA5" w:rsidRDefault="0000383C" w:rsidP="00DC0AB1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00383C" w:rsidRPr="00C733C4" w:rsidRDefault="0000383C" w:rsidP="00DC0AB1">
            <w:pPr>
              <w:rPr>
                <w:rFonts w:ascii="Arial" w:hAnsi="Arial" w:cs="Arial"/>
              </w:rPr>
            </w:pPr>
          </w:p>
        </w:tc>
      </w:tr>
      <w:tr w:rsidR="0000383C" w:rsidRPr="001822B0" w:rsidTr="00DC0AB1">
        <w:trPr>
          <w:trHeight w:val="749"/>
        </w:trPr>
        <w:tc>
          <w:tcPr>
            <w:tcW w:w="5905" w:type="dxa"/>
            <w:gridSpan w:val="9"/>
            <w:shd w:val="clear" w:color="auto" w:fill="auto"/>
            <w:vAlign w:val="center"/>
            <w:hideMark/>
          </w:tcPr>
          <w:p w:rsidR="0000383C" w:rsidRPr="001822B0" w:rsidRDefault="0000383C" w:rsidP="00DC0AB1">
            <w:pPr>
              <w:contextualSpacing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 xml:space="preserve">____________ </w:t>
            </w:r>
            <w:r w:rsidR="00DC0AB1">
              <w:rPr>
                <w:iCs/>
                <w:sz w:val="28"/>
                <w:szCs w:val="28"/>
              </w:rPr>
              <w:t>С.Н.Антоненко</w:t>
            </w:r>
            <w:r w:rsidRPr="001822B0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23" w:type="dxa"/>
            <w:gridSpan w:val="6"/>
            <w:shd w:val="clear" w:color="auto" w:fill="auto"/>
            <w:noWrap/>
            <w:vAlign w:val="center"/>
            <w:hideMark/>
          </w:tcPr>
          <w:p w:rsidR="0000383C" w:rsidRPr="001822B0" w:rsidRDefault="0000383C" w:rsidP="00DC0AB1">
            <w:pPr>
              <w:contextualSpacing/>
              <w:rPr>
                <w:sz w:val="28"/>
                <w:szCs w:val="28"/>
              </w:rPr>
            </w:pPr>
            <w:r w:rsidRPr="006B000C">
              <w:rPr>
                <w:color w:val="FF0000"/>
                <w:sz w:val="28"/>
                <w:szCs w:val="28"/>
              </w:rPr>
              <w:t xml:space="preserve">  </w:t>
            </w:r>
            <w:r w:rsidRPr="001822B0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00383C" w:rsidRPr="00C96DE9" w:rsidTr="00DC0AB1">
        <w:trPr>
          <w:trHeight w:val="315"/>
        </w:trPr>
        <w:tc>
          <w:tcPr>
            <w:tcW w:w="5808" w:type="dxa"/>
            <w:gridSpan w:val="7"/>
            <w:shd w:val="clear" w:color="auto" w:fill="auto"/>
            <w:noWrap/>
            <w:vAlign w:val="center"/>
            <w:hideMark/>
          </w:tcPr>
          <w:p w:rsidR="0000383C" w:rsidRPr="00DC0AB1" w:rsidRDefault="0000383C" w:rsidP="00DC0AB1">
            <w:pPr>
              <w:pStyle w:val="21"/>
              <w:shd w:val="clear" w:color="auto" w:fill="auto"/>
              <w:tabs>
                <w:tab w:val="left" w:leader="underscore" w:pos="597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DC0AB1">
              <w:rPr>
                <w:sz w:val="28"/>
                <w:szCs w:val="28"/>
              </w:rPr>
              <w:t>«</w:t>
            </w:r>
            <w:r w:rsidRPr="00DC0AB1">
              <w:rPr>
                <w:sz w:val="28"/>
                <w:szCs w:val="28"/>
              </w:rPr>
              <w:tab/>
              <w:t xml:space="preserve">» _________ 20__ </w:t>
            </w:r>
          </w:p>
        </w:tc>
        <w:tc>
          <w:tcPr>
            <w:tcW w:w="236" w:type="dxa"/>
            <w:gridSpan w:val="4"/>
            <w:shd w:val="clear" w:color="auto" w:fill="auto"/>
            <w:noWrap/>
            <w:vAlign w:val="center"/>
            <w:hideMark/>
          </w:tcPr>
          <w:p w:rsidR="0000383C" w:rsidRPr="001822B0" w:rsidRDefault="0000383C" w:rsidP="00DC0A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84" w:type="dxa"/>
            <w:gridSpan w:val="4"/>
            <w:shd w:val="clear" w:color="auto" w:fill="auto"/>
            <w:noWrap/>
            <w:vAlign w:val="center"/>
            <w:hideMark/>
          </w:tcPr>
          <w:p w:rsidR="0000383C" w:rsidRPr="00C96DE9" w:rsidRDefault="0000383C" w:rsidP="00DC0AB1">
            <w:pPr>
              <w:pStyle w:val="21"/>
              <w:shd w:val="clear" w:color="auto" w:fill="auto"/>
              <w:tabs>
                <w:tab w:val="left" w:leader="underscore" w:pos="597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C96DE9">
              <w:rPr>
                <w:sz w:val="28"/>
                <w:szCs w:val="28"/>
              </w:rPr>
              <w:t>«</w:t>
            </w:r>
            <w:r w:rsidRPr="00DC0AB1">
              <w:rPr>
                <w:sz w:val="28"/>
                <w:szCs w:val="28"/>
              </w:rPr>
              <w:tab/>
              <w:t xml:space="preserve">» __________ 20__ </w:t>
            </w:r>
          </w:p>
        </w:tc>
      </w:tr>
      <w:tr w:rsidR="0000383C" w:rsidRPr="00C733C4" w:rsidTr="00DC0AB1">
        <w:trPr>
          <w:gridAfter w:val="2"/>
          <w:wAfter w:w="1661" w:type="dxa"/>
          <w:trHeight w:val="300"/>
        </w:trPr>
        <w:tc>
          <w:tcPr>
            <w:tcW w:w="1807" w:type="dxa"/>
            <w:shd w:val="clear" w:color="auto" w:fill="auto"/>
            <w:noWrap/>
            <w:vAlign w:val="bottom"/>
            <w:hideMark/>
          </w:tcPr>
          <w:p w:rsidR="0000383C" w:rsidRPr="00F511B5" w:rsidRDefault="0000383C" w:rsidP="00DC0AB1">
            <w:pPr>
              <w:rPr>
                <w:strike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00383C" w:rsidRPr="001822B0" w:rsidRDefault="0000383C" w:rsidP="00DC0A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00383C" w:rsidRPr="001822B0" w:rsidRDefault="0000383C" w:rsidP="00DC0A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00383C" w:rsidRPr="001822B0" w:rsidRDefault="0000383C" w:rsidP="00DC0A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00383C" w:rsidRPr="001822B0" w:rsidRDefault="0000383C" w:rsidP="00DC0A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8" w:type="dxa"/>
            <w:gridSpan w:val="2"/>
            <w:shd w:val="clear" w:color="auto" w:fill="auto"/>
            <w:noWrap/>
            <w:vAlign w:val="bottom"/>
            <w:hideMark/>
          </w:tcPr>
          <w:p w:rsidR="0000383C" w:rsidRPr="001822B0" w:rsidRDefault="0000383C" w:rsidP="00DC0A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" w:type="dxa"/>
            <w:gridSpan w:val="4"/>
            <w:shd w:val="clear" w:color="auto" w:fill="auto"/>
            <w:noWrap/>
            <w:vAlign w:val="bottom"/>
            <w:hideMark/>
          </w:tcPr>
          <w:p w:rsidR="0000383C" w:rsidRPr="001822B0" w:rsidRDefault="0000383C" w:rsidP="00DC0A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00383C" w:rsidRPr="00F511B5" w:rsidRDefault="0000383C" w:rsidP="00DC0AB1">
            <w:pPr>
              <w:rPr>
                <w:strike/>
                <w:sz w:val="28"/>
                <w:szCs w:val="28"/>
              </w:rPr>
            </w:pP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00383C" w:rsidRPr="00C733C4" w:rsidRDefault="0000383C" w:rsidP="00DC0AB1">
            <w:pPr>
              <w:rPr>
                <w:rFonts w:ascii="Arial" w:hAnsi="Arial" w:cs="Arial"/>
              </w:rPr>
            </w:pPr>
          </w:p>
        </w:tc>
      </w:tr>
    </w:tbl>
    <w:p w:rsidR="00254F26" w:rsidRDefault="00254F26" w:rsidP="00140A51">
      <w:pPr>
        <w:rPr>
          <w:b/>
          <w:sz w:val="28"/>
          <w:szCs w:val="28"/>
        </w:rPr>
      </w:pPr>
    </w:p>
    <w:sectPr w:rsidR="00254F26" w:rsidSect="00D977CA">
      <w:pgSz w:w="11906" w:h="16838"/>
      <w:pgMar w:top="851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0B9" w:rsidRDefault="007A00B9" w:rsidP="002E7E29">
      <w:r>
        <w:separator/>
      </w:r>
    </w:p>
  </w:endnote>
  <w:endnote w:type="continuationSeparator" w:id="0">
    <w:p w:rsidR="007A00B9" w:rsidRDefault="007A00B9" w:rsidP="002E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0B9" w:rsidRDefault="007A00B9" w:rsidP="002E7E29">
      <w:r>
        <w:separator/>
      </w:r>
    </w:p>
  </w:footnote>
  <w:footnote w:type="continuationSeparator" w:id="0">
    <w:p w:rsidR="007A00B9" w:rsidRDefault="007A00B9" w:rsidP="002E7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1668"/>
    <w:multiLevelType w:val="multilevel"/>
    <w:tmpl w:val="4ADADFE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88B4A8B"/>
    <w:multiLevelType w:val="multilevel"/>
    <w:tmpl w:val="8CB4716E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9DE0E5D"/>
    <w:multiLevelType w:val="multilevel"/>
    <w:tmpl w:val="5D04F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2F6F11"/>
    <w:multiLevelType w:val="multilevel"/>
    <w:tmpl w:val="7010B1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EF86D18"/>
    <w:multiLevelType w:val="hybridMultilevel"/>
    <w:tmpl w:val="2640D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7F4DB3"/>
    <w:multiLevelType w:val="multilevel"/>
    <w:tmpl w:val="2DA80E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9CF5FA2"/>
    <w:multiLevelType w:val="multilevel"/>
    <w:tmpl w:val="3E8E4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6694924"/>
    <w:multiLevelType w:val="multilevel"/>
    <w:tmpl w:val="63589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4C1478"/>
    <w:multiLevelType w:val="multilevel"/>
    <w:tmpl w:val="9FF292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AB22EA9"/>
    <w:multiLevelType w:val="multilevel"/>
    <w:tmpl w:val="8F80A4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D6363A6"/>
    <w:multiLevelType w:val="multilevel"/>
    <w:tmpl w:val="638C561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D960BEF"/>
    <w:multiLevelType w:val="multilevel"/>
    <w:tmpl w:val="2DEC0BA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A9472D2"/>
    <w:multiLevelType w:val="multilevel"/>
    <w:tmpl w:val="46DCD4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2B9623C"/>
    <w:multiLevelType w:val="hybridMultilevel"/>
    <w:tmpl w:val="E8BCF6FE"/>
    <w:lvl w:ilvl="0" w:tplc="10E6A47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B08E9"/>
    <w:multiLevelType w:val="multilevel"/>
    <w:tmpl w:val="018EE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EED1770"/>
    <w:multiLevelType w:val="multilevel"/>
    <w:tmpl w:val="962CB5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13"/>
  </w:num>
  <w:num w:numId="10">
    <w:abstractNumId w:val="2"/>
  </w:num>
  <w:num w:numId="11">
    <w:abstractNumId w:val="6"/>
  </w:num>
  <w:num w:numId="12">
    <w:abstractNumId w:val="7"/>
  </w:num>
  <w:num w:numId="13">
    <w:abstractNumId w:val="3"/>
  </w:num>
  <w:num w:numId="14">
    <w:abstractNumId w:val="12"/>
  </w:num>
  <w:num w:numId="15">
    <w:abstractNumId w:val="9"/>
  </w:num>
  <w:num w:numId="1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6A"/>
    <w:rsid w:val="0000383C"/>
    <w:rsid w:val="00003EE7"/>
    <w:rsid w:val="00014062"/>
    <w:rsid w:val="00023713"/>
    <w:rsid w:val="00031F34"/>
    <w:rsid w:val="00037F61"/>
    <w:rsid w:val="00042134"/>
    <w:rsid w:val="0004714E"/>
    <w:rsid w:val="0005128B"/>
    <w:rsid w:val="0005135F"/>
    <w:rsid w:val="00052410"/>
    <w:rsid w:val="00054DE2"/>
    <w:rsid w:val="000629A9"/>
    <w:rsid w:val="0006542A"/>
    <w:rsid w:val="00071F25"/>
    <w:rsid w:val="0007509F"/>
    <w:rsid w:val="0007553C"/>
    <w:rsid w:val="00082CA9"/>
    <w:rsid w:val="00094810"/>
    <w:rsid w:val="00095372"/>
    <w:rsid w:val="00095E89"/>
    <w:rsid w:val="0009609E"/>
    <w:rsid w:val="000A21B4"/>
    <w:rsid w:val="000A53D3"/>
    <w:rsid w:val="000B4DBD"/>
    <w:rsid w:val="000B4F66"/>
    <w:rsid w:val="000B5243"/>
    <w:rsid w:val="000C5B37"/>
    <w:rsid w:val="000D583C"/>
    <w:rsid w:val="000E6781"/>
    <w:rsid w:val="000F3DB7"/>
    <w:rsid w:val="00105938"/>
    <w:rsid w:val="00110594"/>
    <w:rsid w:val="00114D74"/>
    <w:rsid w:val="00116146"/>
    <w:rsid w:val="00117692"/>
    <w:rsid w:val="001200E0"/>
    <w:rsid w:val="00123C8F"/>
    <w:rsid w:val="00123CBB"/>
    <w:rsid w:val="00130105"/>
    <w:rsid w:val="0013428F"/>
    <w:rsid w:val="00136FC7"/>
    <w:rsid w:val="00137B26"/>
    <w:rsid w:val="00140A51"/>
    <w:rsid w:val="00142696"/>
    <w:rsid w:val="00147407"/>
    <w:rsid w:val="00147595"/>
    <w:rsid w:val="00147E5B"/>
    <w:rsid w:val="001523D7"/>
    <w:rsid w:val="00155A78"/>
    <w:rsid w:val="00156485"/>
    <w:rsid w:val="001638CF"/>
    <w:rsid w:val="00164152"/>
    <w:rsid w:val="00165516"/>
    <w:rsid w:val="0017199C"/>
    <w:rsid w:val="00174D61"/>
    <w:rsid w:val="0017743C"/>
    <w:rsid w:val="001875C6"/>
    <w:rsid w:val="001A2446"/>
    <w:rsid w:val="001A26C3"/>
    <w:rsid w:val="001A7509"/>
    <w:rsid w:val="001B3E21"/>
    <w:rsid w:val="001B5F84"/>
    <w:rsid w:val="001C3463"/>
    <w:rsid w:val="001C37A6"/>
    <w:rsid w:val="001C67B9"/>
    <w:rsid w:val="001C7FA4"/>
    <w:rsid w:val="001D05FC"/>
    <w:rsid w:val="001D1A95"/>
    <w:rsid w:val="001D2630"/>
    <w:rsid w:val="001D34A9"/>
    <w:rsid w:val="001D4C68"/>
    <w:rsid w:val="001E00B8"/>
    <w:rsid w:val="001E66E4"/>
    <w:rsid w:val="00201756"/>
    <w:rsid w:val="00207238"/>
    <w:rsid w:val="00210610"/>
    <w:rsid w:val="00214036"/>
    <w:rsid w:val="00214DD6"/>
    <w:rsid w:val="00216122"/>
    <w:rsid w:val="0023138B"/>
    <w:rsid w:val="00231AA8"/>
    <w:rsid w:val="002412E7"/>
    <w:rsid w:val="002472D7"/>
    <w:rsid w:val="00247A90"/>
    <w:rsid w:val="002539DB"/>
    <w:rsid w:val="00254F26"/>
    <w:rsid w:val="002568E5"/>
    <w:rsid w:val="002577A8"/>
    <w:rsid w:val="00265EE1"/>
    <w:rsid w:val="002712BF"/>
    <w:rsid w:val="00283A15"/>
    <w:rsid w:val="00284753"/>
    <w:rsid w:val="0029729B"/>
    <w:rsid w:val="002A0713"/>
    <w:rsid w:val="002A4347"/>
    <w:rsid w:val="002B140E"/>
    <w:rsid w:val="002B6C2F"/>
    <w:rsid w:val="002B6DAA"/>
    <w:rsid w:val="002C135C"/>
    <w:rsid w:val="002C2B39"/>
    <w:rsid w:val="002C399D"/>
    <w:rsid w:val="002D3210"/>
    <w:rsid w:val="002E0D09"/>
    <w:rsid w:val="002E1FBC"/>
    <w:rsid w:val="002E7E29"/>
    <w:rsid w:val="002F7C97"/>
    <w:rsid w:val="00306756"/>
    <w:rsid w:val="00306C6C"/>
    <w:rsid w:val="00314872"/>
    <w:rsid w:val="003213B9"/>
    <w:rsid w:val="00322F49"/>
    <w:rsid w:val="003233D7"/>
    <w:rsid w:val="00327B6D"/>
    <w:rsid w:val="00334029"/>
    <w:rsid w:val="0034243D"/>
    <w:rsid w:val="00346F61"/>
    <w:rsid w:val="003507E8"/>
    <w:rsid w:val="00353FEB"/>
    <w:rsid w:val="003540B7"/>
    <w:rsid w:val="00354B3B"/>
    <w:rsid w:val="0035604C"/>
    <w:rsid w:val="0035658A"/>
    <w:rsid w:val="00357627"/>
    <w:rsid w:val="0036354D"/>
    <w:rsid w:val="003646E6"/>
    <w:rsid w:val="00365528"/>
    <w:rsid w:val="00370609"/>
    <w:rsid w:val="003733F4"/>
    <w:rsid w:val="00373570"/>
    <w:rsid w:val="003815F5"/>
    <w:rsid w:val="003821D0"/>
    <w:rsid w:val="0038582A"/>
    <w:rsid w:val="00386CF2"/>
    <w:rsid w:val="00396A86"/>
    <w:rsid w:val="003A145A"/>
    <w:rsid w:val="003A3175"/>
    <w:rsid w:val="003C112B"/>
    <w:rsid w:val="003C2CF9"/>
    <w:rsid w:val="003D2D8B"/>
    <w:rsid w:val="003D4F93"/>
    <w:rsid w:val="003E4F19"/>
    <w:rsid w:val="003F335E"/>
    <w:rsid w:val="003F779E"/>
    <w:rsid w:val="00416593"/>
    <w:rsid w:val="00416875"/>
    <w:rsid w:val="004174B0"/>
    <w:rsid w:val="00426F33"/>
    <w:rsid w:val="0042721A"/>
    <w:rsid w:val="0043270E"/>
    <w:rsid w:val="00435AE1"/>
    <w:rsid w:val="00445BC9"/>
    <w:rsid w:val="0045625F"/>
    <w:rsid w:val="0045677E"/>
    <w:rsid w:val="00467809"/>
    <w:rsid w:val="00467F67"/>
    <w:rsid w:val="00472DBC"/>
    <w:rsid w:val="00473FE7"/>
    <w:rsid w:val="00490309"/>
    <w:rsid w:val="004A2160"/>
    <w:rsid w:val="004A7840"/>
    <w:rsid w:val="004C0B5C"/>
    <w:rsid w:val="004C1B67"/>
    <w:rsid w:val="004C361E"/>
    <w:rsid w:val="004D3414"/>
    <w:rsid w:val="004D4628"/>
    <w:rsid w:val="004D7D2A"/>
    <w:rsid w:val="004D7E4B"/>
    <w:rsid w:val="004E668E"/>
    <w:rsid w:val="004F0226"/>
    <w:rsid w:val="004F0455"/>
    <w:rsid w:val="004F626C"/>
    <w:rsid w:val="004F62A6"/>
    <w:rsid w:val="004F6550"/>
    <w:rsid w:val="00511243"/>
    <w:rsid w:val="00511436"/>
    <w:rsid w:val="005117A6"/>
    <w:rsid w:val="005144F7"/>
    <w:rsid w:val="00521086"/>
    <w:rsid w:val="00524C6A"/>
    <w:rsid w:val="00525477"/>
    <w:rsid w:val="00525E4F"/>
    <w:rsid w:val="00526329"/>
    <w:rsid w:val="00535CAC"/>
    <w:rsid w:val="005370FF"/>
    <w:rsid w:val="0054526B"/>
    <w:rsid w:val="00546B32"/>
    <w:rsid w:val="00555085"/>
    <w:rsid w:val="00560569"/>
    <w:rsid w:val="00563184"/>
    <w:rsid w:val="005673B5"/>
    <w:rsid w:val="00571C3D"/>
    <w:rsid w:val="00575B0C"/>
    <w:rsid w:val="00576BD2"/>
    <w:rsid w:val="005774FF"/>
    <w:rsid w:val="00581360"/>
    <w:rsid w:val="00591AC9"/>
    <w:rsid w:val="00591FD4"/>
    <w:rsid w:val="005956C9"/>
    <w:rsid w:val="005A4309"/>
    <w:rsid w:val="005A4C30"/>
    <w:rsid w:val="005B1F45"/>
    <w:rsid w:val="005B3385"/>
    <w:rsid w:val="005B3670"/>
    <w:rsid w:val="005B3844"/>
    <w:rsid w:val="005B4132"/>
    <w:rsid w:val="005B4DFA"/>
    <w:rsid w:val="005B7B03"/>
    <w:rsid w:val="005C0570"/>
    <w:rsid w:val="005C2347"/>
    <w:rsid w:val="005C23E3"/>
    <w:rsid w:val="005C66A8"/>
    <w:rsid w:val="005C72B4"/>
    <w:rsid w:val="005F1342"/>
    <w:rsid w:val="005F143D"/>
    <w:rsid w:val="005F5CCA"/>
    <w:rsid w:val="00612456"/>
    <w:rsid w:val="006174CE"/>
    <w:rsid w:val="0062256A"/>
    <w:rsid w:val="006346AB"/>
    <w:rsid w:val="00634A05"/>
    <w:rsid w:val="00636458"/>
    <w:rsid w:val="00636733"/>
    <w:rsid w:val="00636F50"/>
    <w:rsid w:val="006401C6"/>
    <w:rsid w:val="006403DF"/>
    <w:rsid w:val="00641402"/>
    <w:rsid w:val="006426BB"/>
    <w:rsid w:val="00650E9E"/>
    <w:rsid w:val="0065109C"/>
    <w:rsid w:val="00653698"/>
    <w:rsid w:val="0065387A"/>
    <w:rsid w:val="00663886"/>
    <w:rsid w:val="00664B3E"/>
    <w:rsid w:val="0067272A"/>
    <w:rsid w:val="00675075"/>
    <w:rsid w:val="0067790C"/>
    <w:rsid w:val="00680643"/>
    <w:rsid w:val="006806E0"/>
    <w:rsid w:val="0068265D"/>
    <w:rsid w:val="00687AEC"/>
    <w:rsid w:val="006917D2"/>
    <w:rsid w:val="0069267E"/>
    <w:rsid w:val="006940B5"/>
    <w:rsid w:val="006A053C"/>
    <w:rsid w:val="006A55AA"/>
    <w:rsid w:val="006B435B"/>
    <w:rsid w:val="006B7007"/>
    <w:rsid w:val="006C0DFF"/>
    <w:rsid w:val="006D0720"/>
    <w:rsid w:val="006D144F"/>
    <w:rsid w:val="006D275D"/>
    <w:rsid w:val="006E47A9"/>
    <w:rsid w:val="006E6C95"/>
    <w:rsid w:val="006E7432"/>
    <w:rsid w:val="006F0FE5"/>
    <w:rsid w:val="00700E6C"/>
    <w:rsid w:val="00704432"/>
    <w:rsid w:val="0070685E"/>
    <w:rsid w:val="00707644"/>
    <w:rsid w:val="00713430"/>
    <w:rsid w:val="007179D2"/>
    <w:rsid w:val="00723D6D"/>
    <w:rsid w:val="00736145"/>
    <w:rsid w:val="00737420"/>
    <w:rsid w:val="00742DE0"/>
    <w:rsid w:val="00750AD8"/>
    <w:rsid w:val="0075503F"/>
    <w:rsid w:val="00761812"/>
    <w:rsid w:val="00771C86"/>
    <w:rsid w:val="007833FF"/>
    <w:rsid w:val="007939D6"/>
    <w:rsid w:val="00795608"/>
    <w:rsid w:val="00796089"/>
    <w:rsid w:val="007A00B9"/>
    <w:rsid w:val="007A16C5"/>
    <w:rsid w:val="007A38A7"/>
    <w:rsid w:val="007B2870"/>
    <w:rsid w:val="007B32DB"/>
    <w:rsid w:val="007C2EB2"/>
    <w:rsid w:val="007C7DF7"/>
    <w:rsid w:val="007D4F7D"/>
    <w:rsid w:val="007D6DE3"/>
    <w:rsid w:val="007E5B01"/>
    <w:rsid w:val="007E62B7"/>
    <w:rsid w:val="007E7CE1"/>
    <w:rsid w:val="007F635B"/>
    <w:rsid w:val="00801904"/>
    <w:rsid w:val="00805AC0"/>
    <w:rsid w:val="00814A92"/>
    <w:rsid w:val="008206B2"/>
    <w:rsid w:val="00820DCD"/>
    <w:rsid w:val="00824A8D"/>
    <w:rsid w:val="00827FE2"/>
    <w:rsid w:val="00834BD6"/>
    <w:rsid w:val="00846298"/>
    <w:rsid w:val="00853ACE"/>
    <w:rsid w:val="00861C7D"/>
    <w:rsid w:val="0087075D"/>
    <w:rsid w:val="00871674"/>
    <w:rsid w:val="00877D4A"/>
    <w:rsid w:val="00882BEC"/>
    <w:rsid w:val="008948EC"/>
    <w:rsid w:val="008A430C"/>
    <w:rsid w:val="008A6292"/>
    <w:rsid w:val="008A751E"/>
    <w:rsid w:val="008B0727"/>
    <w:rsid w:val="008B22A8"/>
    <w:rsid w:val="008B244F"/>
    <w:rsid w:val="008B6249"/>
    <w:rsid w:val="008C24B9"/>
    <w:rsid w:val="008D2DFB"/>
    <w:rsid w:val="008D3279"/>
    <w:rsid w:val="008D62ED"/>
    <w:rsid w:val="008E3D2D"/>
    <w:rsid w:val="008E75DD"/>
    <w:rsid w:val="008E7D53"/>
    <w:rsid w:val="008F0D85"/>
    <w:rsid w:val="008F362C"/>
    <w:rsid w:val="00900FDF"/>
    <w:rsid w:val="009048BC"/>
    <w:rsid w:val="00904DB0"/>
    <w:rsid w:val="00912740"/>
    <w:rsid w:val="00914622"/>
    <w:rsid w:val="009413BE"/>
    <w:rsid w:val="00952F67"/>
    <w:rsid w:val="00962FFC"/>
    <w:rsid w:val="00964003"/>
    <w:rsid w:val="00965576"/>
    <w:rsid w:val="00970312"/>
    <w:rsid w:val="00973833"/>
    <w:rsid w:val="009960A0"/>
    <w:rsid w:val="009A26A1"/>
    <w:rsid w:val="009B2CD7"/>
    <w:rsid w:val="009C4C8D"/>
    <w:rsid w:val="009C734E"/>
    <w:rsid w:val="009C7548"/>
    <w:rsid w:val="009C7D13"/>
    <w:rsid w:val="009D4D8D"/>
    <w:rsid w:val="009E1A21"/>
    <w:rsid w:val="009E35FF"/>
    <w:rsid w:val="009F6EA8"/>
    <w:rsid w:val="00A03241"/>
    <w:rsid w:val="00A05EB0"/>
    <w:rsid w:val="00A1187A"/>
    <w:rsid w:val="00A142D6"/>
    <w:rsid w:val="00A20F76"/>
    <w:rsid w:val="00A25D74"/>
    <w:rsid w:val="00A32AAD"/>
    <w:rsid w:val="00A32F09"/>
    <w:rsid w:val="00A3409A"/>
    <w:rsid w:val="00A34B94"/>
    <w:rsid w:val="00A37C2B"/>
    <w:rsid w:val="00A443FE"/>
    <w:rsid w:val="00A46AEE"/>
    <w:rsid w:val="00A50437"/>
    <w:rsid w:val="00A608FB"/>
    <w:rsid w:val="00A62E05"/>
    <w:rsid w:val="00A64B0A"/>
    <w:rsid w:val="00A7288D"/>
    <w:rsid w:val="00A76DF6"/>
    <w:rsid w:val="00A8016B"/>
    <w:rsid w:val="00A8023B"/>
    <w:rsid w:val="00A808BE"/>
    <w:rsid w:val="00A9122E"/>
    <w:rsid w:val="00A9516C"/>
    <w:rsid w:val="00A954A0"/>
    <w:rsid w:val="00A957F4"/>
    <w:rsid w:val="00A977C2"/>
    <w:rsid w:val="00AA13EB"/>
    <w:rsid w:val="00AA266B"/>
    <w:rsid w:val="00AA7628"/>
    <w:rsid w:val="00AA7D89"/>
    <w:rsid w:val="00AB06D3"/>
    <w:rsid w:val="00AB1EE9"/>
    <w:rsid w:val="00AB4CAD"/>
    <w:rsid w:val="00AC1713"/>
    <w:rsid w:val="00AC40DC"/>
    <w:rsid w:val="00AC6292"/>
    <w:rsid w:val="00AC6EE7"/>
    <w:rsid w:val="00AD1B04"/>
    <w:rsid w:val="00AD2C16"/>
    <w:rsid w:val="00AD409B"/>
    <w:rsid w:val="00AD55E5"/>
    <w:rsid w:val="00AE0CB7"/>
    <w:rsid w:val="00AE3703"/>
    <w:rsid w:val="00AF19F5"/>
    <w:rsid w:val="00AF2982"/>
    <w:rsid w:val="00AF7C26"/>
    <w:rsid w:val="00B00B2A"/>
    <w:rsid w:val="00B02236"/>
    <w:rsid w:val="00B0573A"/>
    <w:rsid w:val="00B0592C"/>
    <w:rsid w:val="00B12329"/>
    <w:rsid w:val="00B23F7A"/>
    <w:rsid w:val="00B24661"/>
    <w:rsid w:val="00B41FB8"/>
    <w:rsid w:val="00B43481"/>
    <w:rsid w:val="00B44F88"/>
    <w:rsid w:val="00B46D95"/>
    <w:rsid w:val="00B50A28"/>
    <w:rsid w:val="00B60782"/>
    <w:rsid w:val="00B62B81"/>
    <w:rsid w:val="00B76BE2"/>
    <w:rsid w:val="00B83BA7"/>
    <w:rsid w:val="00B858BB"/>
    <w:rsid w:val="00B91A50"/>
    <w:rsid w:val="00B91BF9"/>
    <w:rsid w:val="00B91DC7"/>
    <w:rsid w:val="00B972B9"/>
    <w:rsid w:val="00BA059D"/>
    <w:rsid w:val="00BA1A67"/>
    <w:rsid w:val="00BA66F7"/>
    <w:rsid w:val="00BB09BE"/>
    <w:rsid w:val="00BB0B27"/>
    <w:rsid w:val="00BC11E0"/>
    <w:rsid w:val="00BC1641"/>
    <w:rsid w:val="00BC1E21"/>
    <w:rsid w:val="00BC4F59"/>
    <w:rsid w:val="00BD2192"/>
    <w:rsid w:val="00BE2BA1"/>
    <w:rsid w:val="00BE481C"/>
    <w:rsid w:val="00BE55C7"/>
    <w:rsid w:val="00BF2F63"/>
    <w:rsid w:val="00BF3C4B"/>
    <w:rsid w:val="00BF6CE0"/>
    <w:rsid w:val="00BF75C7"/>
    <w:rsid w:val="00C03C55"/>
    <w:rsid w:val="00C05BB6"/>
    <w:rsid w:val="00C11988"/>
    <w:rsid w:val="00C13851"/>
    <w:rsid w:val="00C16EEA"/>
    <w:rsid w:val="00C222F3"/>
    <w:rsid w:val="00C23F74"/>
    <w:rsid w:val="00C33ACA"/>
    <w:rsid w:val="00C34EB5"/>
    <w:rsid w:val="00C366E7"/>
    <w:rsid w:val="00C545DE"/>
    <w:rsid w:val="00C545FB"/>
    <w:rsid w:val="00C55A2E"/>
    <w:rsid w:val="00C604AD"/>
    <w:rsid w:val="00C6291C"/>
    <w:rsid w:val="00C70A26"/>
    <w:rsid w:val="00C71F0F"/>
    <w:rsid w:val="00C7541B"/>
    <w:rsid w:val="00C90720"/>
    <w:rsid w:val="00CB31B1"/>
    <w:rsid w:val="00CB3626"/>
    <w:rsid w:val="00CB7872"/>
    <w:rsid w:val="00CC1BB0"/>
    <w:rsid w:val="00CC4064"/>
    <w:rsid w:val="00CC76FA"/>
    <w:rsid w:val="00CD59DB"/>
    <w:rsid w:val="00CD623E"/>
    <w:rsid w:val="00CF5AED"/>
    <w:rsid w:val="00D0333C"/>
    <w:rsid w:val="00D05ED0"/>
    <w:rsid w:val="00D10478"/>
    <w:rsid w:val="00D1134A"/>
    <w:rsid w:val="00D13C53"/>
    <w:rsid w:val="00D1457E"/>
    <w:rsid w:val="00D24E52"/>
    <w:rsid w:val="00D31F83"/>
    <w:rsid w:val="00D3517F"/>
    <w:rsid w:val="00D451D2"/>
    <w:rsid w:val="00D50613"/>
    <w:rsid w:val="00D530CE"/>
    <w:rsid w:val="00D54FBE"/>
    <w:rsid w:val="00D56F90"/>
    <w:rsid w:val="00D6144E"/>
    <w:rsid w:val="00D67F7A"/>
    <w:rsid w:val="00D733BA"/>
    <w:rsid w:val="00D84A57"/>
    <w:rsid w:val="00D9231E"/>
    <w:rsid w:val="00D97739"/>
    <w:rsid w:val="00D977CA"/>
    <w:rsid w:val="00DA0EE0"/>
    <w:rsid w:val="00DA7D67"/>
    <w:rsid w:val="00DC0AB1"/>
    <w:rsid w:val="00DC0F6A"/>
    <w:rsid w:val="00DC63B0"/>
    <w:rsid w:val="00DC7A18"/>
    <w:rsid w:val="00DD1B08"/>
    <w:rsid w:val="00DD1D13"/>
    <w:rsid w:val="00DD2191"/>
    <w:rsid w:val="00DD31E8"/>
    <w:rsid w:val="00DD5F5C"/>
    <w:rsid w:val="00DF6F5E"/>
    <w:rsid w:val="00E0694F"/>
    <w:rsid w:val="00E2012E"/>
    <w:rsid w:val="00E21DFD"/>
    <w:rsid w:val="00E35E48"/>
    <w:rsid w:val="00E35FDF"/>
    <w:rsid w:val="00E420E9"/>
    <w:rsid w:val="00E468D9"/>
    <w:rsid w:val="00E4756C"/>
    <w:rsid w:val="00E5540A"/>
    <w:rsid w:val="00E60615"/>
    <w:rsid w:val="00E60BFC"/>
    <w:rsid w:val="00E70CA2"/>
    <w:rsid w:val="00E70F52"/>
    <w:rsid w:val="00E75B7A"/>
    <w:rsid w:val="00E805D3"/>
    <w:rsid w:val="00E80A67"/>
    <w:rsid w:val="00E80C59"/>
    <w:rsid w:val="00E874C9"/>
    <w:rsid w:val="00E91D43"/>
    <w:rsid w:val="00E91F4B"/>
    <w:rsid w:val="00E95FDA"/>
    <w:rsid w:val="00E97F5E"/>
    <w:rsid w:val="00EA1486"/>
    <w:rsid w:val="00EA2007"/>
    <w:rsid w:val="00EA4A35"/>
    <w:rsid w:val="00EA587F"/>
    <w:rsid w:val="00EA74DF"/>
    <w:rsid w:val="00EB030B"/>
    <w:rsid w:val="00EB5B63"/>
    <w:rsid w:val="00EC2030"/>
    <w:rsid w:val="00ED0977"/>
    <w:rsid w:val="00ED3471"/>
    <w:rsid w:val="00ED66E1"/>
    <w:rsid w:val="00EE18B7"/>
    <w:rsid w:val="00EE3263"/>
    <w:rsid w:val="00EE61EA"/>
    <w:rsid w:val="00EF2482"/>
    <w:rsid w:val="00EF4BD9"/>
    <w:rsid w:val="00EF504C"/>
    <w:rsid w:val="00EF7109"/>
    <w:rsid w:val="00F030A7"/>
    <w:rsid w:val="00F05F50"/>
    <w:rsid w:val="00F06658"/>
    <w:rsid w:val="00F11EF8"/>
    <w:rsid w:val="00F1214C"/>
    <w:rsid w:val="00F12A8A"/>
    <w:rsid w:val="00F1459B"/>
    <w:rsid w:val="00F427EA"/>
    <w:rsid w:val="00F511B5"/>
    <w:rsid w:val="00F548EA"/>
    <w:rsid w:val="00F552EF"/>
    <w:rsid w:val="00F61D13"/>
    <w:rsid w:val="00F6595E"/>
    <w:rsid w:val="00F66779"/>
    <w:rsid w:val="00F7093B"/>
    <w:rsid w:val="00F70DA6"/>
    <w:rsid w:val="00F7247E"/>
    <w:rsid w:val="00F72E98"/>
    <w:rsid w:val="00F815BC"/>
    <w:rsid w:val="00F83A6F"/>
    <w:rsid w:val="00F90B4A"/>
    <w:rsid w:val="00F96C89"/>
    <w:rsid w:val="00F97D33"/>
    <w:rsid w:val="00FB225A"/>
    <w:rsid w:val="00FB2FEC"/>
    <w:rsid w:val="00FB7F02"/>
    <w:rsid w:val="00FC0365"/>
    <w:rsid w:val="00FC3097"/>
    <w:rsid w:val="00FC3B7A"/>
    <w:rsid w:val="00FE00EA"/>
    <w:rsid w:val="00FE6089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565477"/>
  <w15:docId w15:val="{9475D44A-91C0-4449-BB9D-4582DF40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86"/>
  </w:style>
  <w:style w:type="paragraph" w:styleId="1">
    <w:name w:val="heading 1"/>
    <w:basedOn w:val="a"/>
    <w:next w:val="a"/>
    <w:qFormat/>
    <w:rsid w:val="00663886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63886"/>
    <w:pPr>
      <w:jc w:val="center"/>
    </w:pPr>
    <w:rPr>
      <w:b/>
      <w:sz w:val="26"/>
    </w:rPr>
  </w:style>
  <w:style w:type="paragraph" w:styleId="a4">
    <w:name w:val="Body Text"/>
    <w:basedOn w:val="a"/>
    <w:rsid w:val="00663886"/>
    <w:rPr>
      <w:sz w:val="26"/>
    </w:rPr>
  </w:style>
  <w:style w:type="paragraph" w:styleId="a5">
    <w:name w:val="Body Text Indent"/>
    <w:basedOn w:val="a"/>
    <w:rsid w:val="00663886"/>
    <w:pPr>
      <w:ind w:left="390"/>
    </w:pPr>
    <w:rPr>
      <w:sz w:val="26"/>
    </w:rPr>
  </w:style>
  <w:style w:type="paragraph" w:styleId="2">
    <w:name w:val="Body Text 2"/>
    <w:basedOn w:val="a"/>
    <w:rsid w:val="00663886"/>
    <w:pPr>
      <w:jc w:val="both"/>
    </w:pPr>
    <w:rPr>
      <w:sz w:val="24"/>
    </w:rPr>
  </w:style>
  <w:style w:type="paragraph" w:styleId="3">
    <w:name w:val="Body Text 3"/>
    <w:basedOn w:val="a"/>
    <w:rsid w:val="00663886"/>
    <w:pPr>
      <w:jc w:val="both"/>
    </w:pPr>
    <w:rPr>
      <w:sz w:val="26"/>
    </w:rPr>
  </w:style>
  <w:style w:type="table" w:styleId="a6">
    <w:name w:val="Table Grid"/>
    <w:basedOn w:val="a1"/>
    <w:uiPriority w:val="59"/>
    <w:rsid w:val="00F552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386CF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E7E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7E29"/>
  </w:style>
  <w:style w:type="paragraph" w:styleId="aa">
    <w:name w:val="footer"/>
    <w:basedOn w:val="a"/>
    <w:link w:val="ab"/>
    <w:uiPriority w:val="99"/>
    <w:unhideWhenUsed/>
    <w:rsid w:val="002E7E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7E29"/>
  </w:style>
  <w:style w:type="paragraph" w:styleId="ac">
    <w:name w:val="Balloon Text"/>
    <w:basedOn w:val="a"/>
    <w:link w:val="ad"/>
    <w:uiPriority w:val="99"/>
    <w:semiHidden/>
    <w:unhideWhenUsed/>
    <w:rsid w:val="001564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6485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link w:val="21"/>
    <w:rsid w:val="0000383C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0383C"/>
    <w:pPr>
      <w:widowControl w:val="0"/>
      <w:shd w:val="clear" w:color="auto" w:fill="FFFFFF"/>
      <w:spacing w:line="317" w:lineRule="exact"/>
      <w:jc w:val="both"/>
    </w:pPr>
  </w:style>
  <w:style w:type="table" w:customStyle="1" w:styleId="10">
    <w:name w:val="Сетка таблицы1"/>
    <w:basedOn w:val="a1"/>
    <w:next w:val="a6"/>
    <w:uiPriority w:val="59"/>
    <w:rsid w:val="00DC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5433C-05F4-49A9-98B5-D36A6FF3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</vt:lpstr>
    </vt:vector>
  </TitlesOfParts>
  <Company>RePack by SPecialiST</Company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</dc:title>
  <dc:subject>JOГO JARDIM x8?! PORRA! DIA 8 VOTA NГO!</dc:subject>
  <dc:creator>VOTA NГO А REGIONALIZAЗГO! SIM AO REFORЗO DO MUNICIPALISMO!</dc:creator>
  <cp:lastModifiedBy>Глушакова Елена Чеславовна</cp:lastModifiedBy>
  <cp:revision>3</cp:revision>
  <cp:lastPrinted>2026-04-02T05:47:00Z</cp:lastPrinted>
  <dcterms:created xsi:type="dcterms:W3CDTF">2026-03-20T05:47:00Z</dcterms:created>
  <dcterms:modified xsi:type="dcterms:W3CDTF">2026-04-02T06:03:00Z</dcterms:modified>
</cp:coreProperties>
</file>